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CC" w:rsidRPr="008972CC" w:rsidRDefault="008972CC" w:rsidP="008972CC">
      <w:pPr>
        <w:spacing w:before="100" w:beforeAutospacing="1" w:after="100" w:afterAutospacing="1" w:line="240" w:lineRule="auto"/>
        <w:jc w:val="center"/>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 </w:t>
      </w:r>
      <w:r>
        <w:rPr>
          <w:rFonts w:ascii="Helvetica" w:eastAsia="Times New Roman" w:hAnsi="Helvetica" w:cs="Helvetica"/>
          <w:noProof/>
          <w:sz w:val="24"/>
          <w:szCs w:val="24"/>
          <w:lang w:eastAsia="ru-RU"/>
        </w:rPr>
        <w:drawing>
          <wp:inline distT="0" distB="0" distL="0" distR="0">
            <wp:extent cx="946150" cy="946150"/>
            <wp:effectExtent l="19050" t="0" r="6350" b="0"/>
            <wp:docPr id="1" name="Рисунок 1" descr="http://www.recko.ru/userfiles/Untitled-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ko.ru/userfiles/Untitled-6(1).gif"/>
                    <pic:cNvPicPr>
                      <a:picLocks noChangeAspect="1" noChangeArrowheads="1"/>
                    </pic:cNvPicPr>
                  </pic:nvPicPr>
                  <pic:blipFill>
                    <a:blip r:embed="rId4" cstate="print"/>
                    <a:srcRect/>
                    <a:stretch>
                      <a:fillRect/>
                    </a:stretch>
                  </pic:blipFill>
                  <pic:spPr bwMode="auto">
                    <a:xfrm>
                      <a:off x="0" y="0"/>
                      <a:ext cx="946150" cy="946150"/>
                    </a:xfrm>
                    <a:prstGeom prst="rect">
                      <a:avLst/>
                    </a:prstGeom>
                    <a:noFill/>
                    <a:ln w="9525">
                      <a:noFill/>
                      <a:miter lim="800000"/>
                      <a:headEnd/>
                      <a:tailEnd/>
                    </a:ln>
                  </pic:spPr>
                </pic:pic>
              </a:graphicData>
            </a:graphic>
          </wp:inline>
        </w:drawing>
      </w:r>
    </w:p>
    <w:p w:rsidR="008972CC" w:rsidRPr="008972CC" w:rsidRDefault="008972CC" w:rsidP="008972CC">
      <w:pPr>
        <w:spacing w:before="100" w:beforeAutospacing="1" w:after="100" w:afterAutospacing="1" w:line="240" w:lineRule="auto"/>
        <w:jc w:val="center"/>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 </w:t>
      </w:r>
    </w:p>
    <w:p w:rsidR="008972CC" w:rsidRPr="008972CC" w:rsidRDefault="008972CC" w:rsidP="008972CC">
      <w:pPr>
        <w:spacing w:before="100" w:beforeAutospacing="1" w:after="100" w:afterAutospacing="1" w:line="240" w:lineRule="auto"/>
        <w:jc w:val="center"/>
        <w:outlineLvl w:val="2"/>
        <w:rPr>
          <w:rFonts w:ascii="Helvetica" w:eastAsia="Times New Roman" w:hAnsi="Helvetica" w:cs="Helvetica"/>
          <w:b/>
          <w:bCs/>
          <w:sz w:val="27"/>
          <w:szCs w:val="27"/>
          <w:lang w:eastAsia="ru-RU"/>
        </w:rPr>
      </w:pPr>
      <w:r w:rsidRPr="008972CC">
        <w:rPr>
          <w:rFonts w:ascii="Helvetica" w:eastAsia="Times New Roman" w:hAnsi="Helvetica" w:cs="Helvetica"/>
          <w:b/>
          <w:bCs/>
          <w:sz w:val="28"/>
          <w:szCs w:val="20"/>
          <w:lang w:eastAsia="ru-RU"/>
        </w:rPr>
        <w:t>РЕГИОНАЛЬНАЯ ЭНЕРГЕТИЧЕСКАЯ КОМИССИЯ</w:t>
      </w:r>
    </w:p>
    <w:p w:rsidR="008972CC" w:rsidRPr="008972CC" w:rsidRDefault="008972CC" w:rsidP="008972CC">
      <w:pPr>
        <w:spacing w:before="100" w:beforeAutospacing="1" w:after="100" w:afterAutospacing="1" w:line="240" w:lineRule="auto"/>
        <w:jc w:val="center"/>
        <w:outlineLvl w:val="2"/>
        <w:rPr>
          <w:rFonts w:ascii="Helvetica" w:eastAsia="Times New Roman" w:hAnsi="Helvetica" w:cs="Helvetica"/>
          <w:b/>
          <w:bCs/>
          <w:sz w:val="27"/>
          <w:szCs w:val="27"/>
          <w:lang w:eastAsia="ru-RU"/>
        </w:rPr>
      </w:pPr>
      <w:r w:rsidRPr="008972CC">
        <w:rPr>
          <w:rFonts w:ascii="Helvetica" w:eastAsia="Times New Roman" w:hAnsi="Helvetica" w:cs="Helvetica"/>
          <w:b/>
          <w:bCs/>
          <w:sz w:val="28"/>
          <w:szCs w:val="20"/>
          <w:lang w:eastAsia="ru-RU"/>
        </w:rPr>
        <w:t>КЕМЕРОВСКОЙ ОБЛАСТИ</w:t>
      </w:r>
    </w:p>
    <w:p w:rsidR="008972CC" w:rsidRPr="008972CC" w:rsidRDefault="008972CC" w:rsidP="008972CC">
      <w:pPr>
        <w:spacing w:before="100" w:beforeAutospacing="1" w:after="100" w:afterAutospacing="1" w:line="240" w:lineRule="auto"/>
        <w:jc w:val="center"/>
        <w:outlineLvl w:val="0"/>
        <w:rPr>
          <w:rFonts w:ascii="Helvetica" w:eastAsia="Times New Roman" w:hAnsi="Helvetica" w:cs="Helvetica"/>
          <w:b/>
          <w:bCs/>
          <w:kern w:val="36"/>
          <w:sz w:val="48"/>
          <w:szCs w:val="48"/>
          <w:lang w:eastAsia="ru-RU"/>
        </w:rPr>
      </w:pPr>
      <w:r w:rsidRPr="008972CC">
        <w:rPr>
          <w:rFonts w:ascii="Helvetica" w:eastAsia="Times New Roman" w:hAnsi="Helvetica" w:cs="Helvetica"/>
          <w:kern w:val="36"/>
          <w:sz w:val="12"/>
          <w:szCs w:val="12"/>
          <w:lang w:eastAsia="ru-RU"/>
        </w:rPr>
        <w:t> </w:t>
      </w:r>
    </w:p>
    <w:p w:rsidR="008972CC" w:rsidRPr="008972CC" w:rsidRDefault="008972CC" w:rsidP="008972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2CC">
        <w:rPr>
          <w:rFonts w:ascii="Times New Roman" w:eastAsia="Times New Roman" w:hAnsi="Times New Roman" w:cs="Times New Roman"/>
          <w:sz w:val="24"/>
          <w:szCs w:val="24"/>
          <w:lang w:eastAsia="ru-RU"/>
        </w:rPr>
        <w:t> </w:t>
      </w:r>
      <w:r w:rsidRPr="008972CC">
        <w:rPr>
          <w:rFonts w:ascii="Times New Roman" w:eastAsia="Times New Roman" w:hAnsi="Times New Roman" w:cs="Times New Roman"/>
          <w:sz w:val="36"/>
          <w:szCs w:val="20"/>
          <w:lang w:eastAsia="ru-RU"/>
        </w:rPr>
        <w:t>ПОСТАНОВЛЕНИЕ </w:t>
      </w:r>
    </w:p>
    <w:p w:rsidR="008972CC" w:rsidRPr="008972CC" w:rsidRDefault="008972CC" w:rsidP="008972CC">
      <w:pPr>
        <w:spacing w:before="100" w:beforeAutospacing="1" w:after="100" w:afterAutospacing="1" w:line="240" w:lineRule="auto"/>
        <w:jc w:val="center"/>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 </w:t>
      </w:r>
    </w:p>
    <w:p w:rsidR="008972CC" w:rsidRPr="008972CC" w:rsidRDefault="008972CC" w:rsidP="008972CC">
      <w:pPr>
        <w:spacing w:after="0" w:line="240" w:lineRule="auto"/>
        <w:rPr>
          <w:rFonts w:ascii="Helvetica" w:eastAsia="Times New Roman" w:hAnsi="Helvetica" w:cs="Helvetica"/>
          <w:sz w:val="24"/>
          <w:szCs w:val="24"/>
          <w:lang w:eastAsia="ru-RU"/>
        </w:rPr>
      </w:pPr>
    </w:p>
    <w:tbl>
      <w:tblPr>
        <w:tblW w:w="5000" w:type="pct"/>
        <w:tblCellSpacing w:w="15" w:type="dxa"/>
        <w:tblCellMar>
          <w:top w:w="15" w:type="dxa"/>
          <w:left w:w="15" w:type="dxa"/>
          <w:bottom w:w="15" w:type="dxa"/>
          <w:right w:w="15" w:type="dxa"/>
        </w:tblCellMar>
        <w:tblLook w:val="04A0"/>
      </w:tblPr>
      <w:tblGrid>
        <w:gridCol w:w="7907"/>
        <w:gridCol w:w="2247"/>
      </w:tblGrid>
      <w:tr w:rsidR="008972CC" w:rsidRPr="008972CC">
        <w:trPr>
          <w:tblCellSpacing w:w="15" w:type="dxa"/>
        </w:trPr>
        <w:tc>
          <w:tcPr>
            <w:tcW w:w="0" w:type="auto"/>
            <w:vAlign w:val="center"/>
            <w:hideMark/>
          </w:tcPr>
          <w:p w:rsidR="008972CC" w:rsidRPr="008972CC" w:rsidRDefault="008972CC" w:rsidP="008972CC">
            <w:pPr>
              <w:spacing w:after="0" w:line="240" w:lineRule="auto"/>
              <w:rPr>
                <w:rFonts w:ascii="Helvetica" w:eastAsia="Times New Roman" w:hAnsi="Helvetica" w:cs="Helvetica"/>
                <w:sz w:val="24"/>
                <w:szCs w:val="24"/>
                <w:lang w:eastAsia="ru-RU"/>
              </w:rPr>
            </w:pPr>
            <w:r w:rsidRPr="008972CC">
              <w:rPr>
                <w:rFonts w:ascii="Helvetica" w:eastAsia="Times New Roman" w:hAnsi="Helvetica" w:cs="Helvetica"/>
                <w:b/>
                <w:bCs/>
                <w:sz w:val="24"/>
                <w:szCs w:val="24"/>
                <w:lang w:eastAsia="ru-RU"/>
              </w:rPr>
              <w:t>29 апреля 2011г.</w:t>
            </w:r>
          </w:p>
        </w:tc>
        <w:tc>
          <w:tcPr>
            <w:tcW w:w="0" w:type="auto"/>
            <w:vAlign w:val="center"/>
            <w:hideMark/>
          </w:tcPr>
          <w:p w:rsidR="008972CC" w:rsidRPr="008972CC" w:rsidRDefault="008972CC" w:rsidP="008972CC">
            <w:pPr>
              <w:spacing w:after="0" w:line="240" w:lineRule="auto"/>
              <w:jc w:val="right"/>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№68</w:t>
            </w:r>
          </w:p>
        </w:tc>
      </w:tr>
    </w:tbl>
    <w:p w:rsidR="008972CC" w:rsidRPr="008972CC" w:rsidRDefault="008972CC" w:rsidP="008972CC">
      <w:pPr>
        <w:spacing w:after="240" w:line="240" w:lineRule="auto"/>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br/>
      </w:r>
      <w:r w:rsidRPr="008972CC">
        <w:rPr>
          <w:rFonts w:ascii="Helvetica" w:eastAsia="Times New Roman" w:hAnsi="Helvetica" w:cs="Helvetica"/>
          <w:b/>
          <w:bCs/>
          <w:sz w:val="24"/>
          <w:szCs w:val="24"/>
          <w:lang w:eastAsia="ru-RU"/>
        </w:rPr>
        <w:t xml:space="preserve">О внесении изменений в некоторые постановления Региональной энергетической комиссии Кемеровской области </w:t>
      </w:r>
    </w:p>
    <w:p w:rsidR="008972CC" w:rsidRPr="008972CC" w:rsidRDefault="008972CC" w:rsidP="008972CC">
      <w:pPr>
        <w:spacing w:after="240" w:line="240" w:lineRule="auto"/>
        <w:jc w:val="both"/>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В соответствии с Федеральным законом 26.03.2003 №35-ФЗ «Об электроэнергетике», Постановлением Правительства Российской Федерации от 26.02.2004 №109 «О ценообразовании в отношении электрической и тепловой энергии в Российской Федерации»,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РФ от 06.08.2004 № 20-э/2, Приказом ФСТ России от 13.04.2011 № 74-э/7 «Об утверждении ставок тарифов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о внесении изменений в приказ Федеральной службы по тарифам от 29.12.2009 г. № 552-э/2», руководствуясь п. 9 Постановления Правительства РФ от 27.12.2010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целях пересмотра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сбытовых надбавок гарантирующих поставщиков, Региональная энергетическая комиссия Кемеровской области постановляет:</w:t>
      </w:r>
      <w:r w:rsidRPr="008972CC">
        <w:rPr>
          <w:rFonts w:ascii="Helvetica" w:eastAsia="Times New Roman" w:hAnsi="Helvetica" w:cs="Helvetica"/>
          <w:sz w:val="24"/>
          <w:szCs w:val="24"/>
          <w:lang w:eastAsia="ru-RU"/>
        </w:rPr>
        <w:br/>
      </w:r>
      <w:r w:rsidRPr="008972CC">
        <w:rPr>
          <w:rFonts w:ascii="Helvetica" w:eastAsia="Times New Roman" w:hAnsi="Helvetica" w:cs="Helvetica"/>
          <w:sz w:val="24"/>
          <w:szCs w:val="24"/>
          <w:lang w:eastAsia="ru-RU"/>
        </w:rPr>
        <w:br/>
        <w:t xml:space="preserve">1. Приложение № 1 к постановлению Региональной энергетической комиссии Кемеровской области от 31.12.2010 № 349 «Об установлении единых (котловых) тарифов на услуги по передаче электрической энергии по сетям Кемеровской области» изложить в редакции согласно приложению № 1 к настоящему постановлению. </w:t>
      </w:r>
      <w:r w:rsidRPr="008972CC">
        <w:rPr>
          <w:rFonts w:ascii="Helvetica" w:eastAsia="Times New Roman" w:hAnsi="Helvetica" w:cs="Helvetica"/>
          <w:sz w:val="24"/>
          <w:szCs w:val="24"/>
          <w:lang w:eastAsia="ru-RU"/>
        </w:rPr>
        <w:br/>
        <w:t>2. Приложение № 1 к постановлению Региональной энергетической комиссии Кемеровской области от 28.12.2010 № 339 «Об утверждении сбытовой надбавки гарантирующего поставщика ОАО «Кузбассэнергосбыт» (в редакции постановления Региональной энергетической комиссии Кемеровской области от 07.02.2011 № 10) изложить в редакции согласно приложению № 2 к настоящему постановлению.</w:t>
      </w:r>
      <w:r w:rsidRPr="008972CC">
        <w:rPr>
          <w:rFonts w:ascii="Helvetica" w:eastAsia="Times New Roman" w:hAnsi="Helvetica" w:cs="Helvetica"/>
          <w:sz w:val="24"/>
          <w:szCs w:val="24"/>
          <w:lang w:eastAsia="ru-RU"/>
        </w:rPr>
        <w:br/>
        <w:t xml:space="preserve">3. Приложение к постановлению Региональной энергетической комиссии Кемеровской </w:t>
      </w:r>
      <w:r w:rsidRPr="008972CC">
        <w:rPr>
          <w:rFonts w:ascii="Helvetica" w:eastAsia="Times New Roman" w:hAnsi="Helvetica" w:cs="Helvetica"/>
          <w:sz w:val="24"/>
          <w:szCs w:val="24"/>
          <w:lang w:eastAsia="ru-RU"/>
        </w:rPr>
        <w:lastRenderedPageBreak/>
        <w:t>области от 23.11.2010 №220 «Об утверждении тарифов на электрическую энергию для населения и потребителей, приравненных к категории население, на территории Кемеровской области с 01 января 2011 года» (в редакции постановления Региональной энергетической комиссии Кемеровской области от 31.03.2011 №40) изложить в редакции согласно приложению № 3 к настоящему постановлению.</w:t>
      </w:r>
      <w:r w:rsidRPr="008972CC">
        <w:rPr>
          <w:rFonts w:ascii="Helvetica" w:eastAsia="Times New Roman" w:hAnsi="Helvetica" w:cs="Helvetica"/>
          <w:sz w:val="24"/>
          <w:szCs w:val="24"/>
          <w:lang w:eastAsia="ru-RU"/>
        </w:rPr>
        <w:br/>
        <w:t>4. Настоящее постановление вступает в силу с 1 мая 2011 года.</w:t>
      </w:r>
      <w:r w:rsidRPr="008972CC">
        <w:rPr>
          <w:rFonts w:ascii="Helvetica" w:eastAsia="Times New Roman" w:hAnsi="Helvetica" w:cs="Helvetica"/>
          <w:sz w:val="24"/>
          <w:szCs w:val="24"/>
          <w:lang w:eastAsia="ru-RU"/>
        </w:rPr>
        <w:br/>
        <w:t>5. Настоящее постановление опубликовать в сборнике «Информационный бюллетень Региональной энергетической комиссии Кемеровской области», а также разместить на официальном сайте РЭК www.recko.ru.</w:t>
      </w:r>
    </w:p>
    <w:tbl>
      <w:tblPr>
        <w:tblW w:w="4584" w:type="pct"/>
        <w:tblCellSpacing w:w="0" w:type="dxa"/>
        <w:tblCellMar>
          <w:left w:w="0" w:type="dxa"/>
          <w:right w:w="0" w:type="dxa"/>
        </w:tblCellMar>
        <w:tblLook w:val="04A0"/>
      </w:tblPr>
      <w:tblGrid>
        <w:gridCol w:w="5334"/>
        <w:gridCol w:w="3893"/>
      </w:tblGrid>
      <w:tr w:rsidR="008972CC" w:rsidRPr="008972CC" w:rsidTr="008972CC">
        <w:trPr>
          <w:tblCellSpacing w:w="0" w:type="dxa"/>
        </w:trPr>
        <w:tc>
          <w:tcPr>
            <w:tcW w:w="0" w:type="auto"/>
            <w:vAlign w:val="center"/>
            <w:hideMark/>
          </w:tcPr>
          <w:p w:rsidR="008972CC" w:rsidRPr="008972CC" w:rsidRDefault="008972CC" w:rsidP="008972CC">
            <w:pPr>
              <w:spacing w:before="100" w:beforeAutospacing="1" w:after="100" w:afterAutospacing="1" w:line="240" w:lineRule="auto"/>
              <w:rPr>
                <w:rFonts w:ascii="Helvetica" w:eastAsia="Times New Roman" w:hAnsi="Helvetica" w:cs="Helvetica"/>
                <w:sz w:val="24"/>
                <w:szCs w:val="24"/>
                <w:lang w:eastAsia="ru-RU"/>
              </w:rPr>
            </w:pPr>
            <w:r w:rsidRPr="008972CC">
              <w:rPr>
                <w:rFonts w:ascii="Helvetica" w:eastAsia="Times New Roman" w:hAnsi="Helvetica" w:cs="Helvetica"/>
                <w:b/>
                <w:bCs/>
                <w:sz w:val="24"/>
                <w:szCs w:val="24"/>
                <w:lang w:eastAsia="ru-RU"/>
              </w:rPr>
              <w:t>Председатель</w:t>
            </w:r>
            <w:r w:rsidRPr="008972CC">
              <w:rPr>
                <w:rFonts w:ascii="Helvetica" w:eastAsia="Times New Roman" w:hAnsi="Helvetica" w:cs="Helvetica"/>
                <w:b/>
                <w:bCs/>
                <w:sz w:val="24"/>
                <w:szCs w:val="24"/>
                <w:lang w:eastAsia="ru-RU"/>
              </w:rPr>
              <w:br/>
              <w:t>Региональной энергетической комиссии</w:t>
            </w:r>
            <w:r w:rsidRPr="008972CC">
              <w:rPr>
                <w:rFonts w:ascii="Helvetica" w:eastAsia="Times New Roman" w:hAnsi="Helvetica" w:cs="Helvetica"/>
                <w:b/>
                <w:bCs/>
                <w:sz w:val="24"/>
                <w:szCs w:val="24"/>
                <w:lang w:eastAsia="ru-RU"/>
              </w:rPr>
              <w:br/>
              <w:t>Кемеровской области</w:t>
            </w:r>
          </w:p>
        </w:tc>
        <w:tc>
          <w:tcPr>
            <w:tcW w:w="0" w:type="auto"/>
            <w:vAlign w:val="center"/>
            <w:hideMark/>
          </w:tcPr>
          <w:p w:rsidR="008972CC" w:rsidRPr="008972CC" w:rsidRDefault="008972CC" w:rsidP="008972CC">
            <w:pPr>
              <w:spacing w:after="0" w:line="240" w:lineRule="auto"/>
              <w:rPr>
                <w:rFonts w:ascii="Helvetica" w:eastAsia="Times New Roman" w:hAnsi="Helvetica" w:cs="Helvetica"/>
                <w:sz w:val="24"/>
                <w:szCs w:val="24"/>
                <w:lang w:eastAsia="ru-RU"/>
              </w:rPr>
            </w:pPr>
            <w:r w:rsidRPr="008972CC">
              <w:rPr>
                <w:rFonts w:ascii="Helvetica" w:eastAsia="Times New Roman" w:hAnsi="Helvetica" w:cs="Helvetica"/>
                <w:sz w:val="24"/>
                <w:szCs w:val="24"/>
                <w:lang w:eastAsia="ru-RU"/>
              </w:rPr>
              <w:t> </w:t>
            </w:r>
            <w:r>
              <w:rPr>
                <w:rFonts w:ascii="Helvetica" w:eastAsia="Times New Roman" w:hAnsi="Helvetica" w:cs="Helvetica"/>
                <w:noProof/>
                <w:sz w:val="24"/>
                <w:szCs w:val="24"/>
                <w:lang w:eastAsia="ru-RU"/>
              </w:rPr>
              <w:drawing>
                <wp:inline distT="0" distB="0" distL="0" distR="0">
                  <wp:extent cx="1071880" cy="662305"/>
                  <wp:effectExtent l="19050" t="0" r="0" b="0"/>
                  <wp:docPr id="2" name="Рисунок 2" descr="http://www.recko.ru/userfiles/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cko.ru/userfiles/0005.jpg"/>
                          <pic:cNvPicPr>
                            <a:picLocks noChangeAspect="1" noChangeArrowheads="1"/>
                          </pic:cNvPicPr>
                        </pic:nvPicPr>
                        <pic:blipFill>
                          <a:blip r:embed="rId5" cstate="print"/>
                          <a:srcRect/>
                          <a:stretch>
                            <a:fillRect/>
                          </a:stretch>
                        </pic:blipFill>
                        <pic:spPr bwMode="auto">
                          <a:xfrm>
                            <a:off x="0" y="0"/>
                            <a:ext cx="1071880" cy="662305"/>
                          </a:xfrm>
                          <a:prstGeom prst="rect">
                            <a:avLst/>
                          </a:prstGeom>
                          <a:noFill/>
                          <a:ln w="9525">
                            <a:noFill/>
                            <a:miter lim="800000"/>
                            <a:headEnd/>
                            <a:tailEnd/>
                          </a:ln>
                        </pic:spPr>
                      </pic:pic>
                    </a:graphicData>
                  </a:graphic>
                </wp:inline>
              </w:drawing>
            </w:r>
            <w:r w:rsidRPr="008972CC">
              <w:rPr>
                <w:rFonts w:ascii="Helvetica" w:eastAsia="Times New Roman" w:hAnsi="Helvetica" w:cs="Helvetica"/>
                <w:sz w:val="24"/>
                <w:szCs w:val="24"/>
                <w:lang w:eastAsia="ru-RU"/>
              </w:rPr>
              <w:t>А. Р. Крумгольц</w:t>
            </w:r>
          </w:p>
        </w:tc>
      </w:tr>
    </w:tbl>
    <w:p w:rsidR="00997AA7" w:rsidRDefault="00997AA7" w:rsidP="008972CC">
      <w:pPr>
        <w:pStyle w:val="2"/>
        <w:keepNext w:val="0"/>
        <w:widowControl w:val="0"/>
        <w:spacing w:line="240" w:lineRule="auto"/>
        <w:jc w:val="right"/>
      </w:pPr>
    </w:p>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 w:rsidR="008972CC" w:rsidRDefault="008972CC" w:rsidP="008972CC">
      <w:pPr>
        <w:tabs>
          <w:tab w:val="left" w:pos="7362"/>
        </w:tabs>
        <w:spacing w:line="360" w:lineRule="auto"/>
        <w:ind w:firstLine="709"/>
        <w:jc w:val="both"/>
        <w:sectPr w:rsidR="008972CC" w:rsidSect="00E522F3">
          <w:pgSz w:w="11906" w:h="16838" w:code="9"/>
          <w:pgMar w:top="993" w:right="566" w:bottom="426" w:left="1276" w:header="720" w:footer="284" w:gutter="0"/>
          <w:cols w:space="720"/>
        </w:sectPr>
      </w:pPr>
    </w:p>
    <w:p w:rsidR="008972CC" w:rsidRDefault="008972CC" w:rsidP="008972CC">
      <w:pPr>
        <w:pStyle w:val="2"/>
        <w:keepNext w:val="0"/>
        <w:widowControl w:val="0"/>
        <w:spacing w:line="240" w:lineRule="auto"/>
        <w:jc w:val="right"/>
        <w:rPr>
          <w:b w:val="0"/>
          <w:szCs w:val="28"/>
        </w:rPr>
      </w:pPr>
      <w:r>
        <w:rPr>
          <w:b w:val="0"/>
          <w:szCs w:val="28"/>
        </w:rPr>
        <w:lastRenderedPageBreak/>
        <w:t>Приложение №3 к постановлению</w:t>
      </w:r>
    </w:p>
    <w:p w:rsidR="008972CC" w:rsidRDefault="008972CC" w:rsidP="008972CC">
      <w:pPr>
        <w:pStyle w:val="2"/>
        <w:keepNext w:val="0"/>
        <w:widowControl w:val="0"/>
        <w:spacing w:line="240" w:lineRule="auto"/>
        <w:jc w:val="right"/>
        <w:rPr>
          <w:b w:val="0"/>
          <w:szCs w:val="28"/>
        </w:rPr>
      </w:pPr>
      <w:r>
        <w:rPr>
          <w:b w:val="0"/>
          <w:szCs w:val="28"/>
        </w:rPr>
        <w:t>Региональной энергетической комиссии</w:t>
      </w:r>
    </w:p>
    <w:p w:rsidR="008972CC" w:rsidRDefault="008972CC" w:rsidP="008972CC">
      <w:pPr>
        <w:pStyle w:val="2"/>
        <w:keepNext w:val="0"/>
        <w:widowControl w:val="0"/>
        <w:spacing w:line="240" w:lineRule="auto"/>
        <w:jc w:val="right"/>
        <w:rPr>
          <w:b w:val="0"/>
          <w:szCs w:val="28"/>
        </w:rPr>
      </w:pPr>
      <w:r>
        <w:rPr>
          <w:b w:val="0"/>
          <w:szCs w:val="28"/>
        </w:rPr>
        <w:t>Кемеровской области</w:t>
      </w:r>
    </w:p>
    <w:p w:rsidR="008972CC" w:rsidRDefault="008972CC" w:rsidP="008972CC">
      <w:pPr>
        <w:pStyle w:val="2"/>
        <w:keepNext w:val="0"/>
        <w:widowControl w:val="0"/>
        <w:spacing w:line="240" w:lineRule="auto"/>
        <w:jc w:val="right"/>
        <w:rPr>
          <w:b w:val="0"/>
          <w:szCs w:val="28"/>
        </w:rPr>
      </w:pPr>
      <w:r>
        <w:rPr>
          <w:b w:val="0"/>
          <w:szCs w:val="28"/>
        </w:rPr>
        <w:t>от «29» апреля 2011 года № 68</w:t>
      </w:r>
    </w:p>
    <w:p w:rsidR="008972CC" w:rsidRDefault="008972CC" w:rsidP="008972CC">
      <w:pPr>
        <w:pStyle w:val="2"/>
        <w:keepNext w:val="0"/>
        <w:widowControl w:val="0"/>
        <w:spacing w:line="240" w:lineRule="auto"/>
        <w:jc w:val="right"/>
        <w:rPr>
          <w:b w:val="0"/>
        </w:rPr>
      </w:pPr>
    </w:p>
    <w:p w:rsidR="008972CC" w:rsidRPr="000F522D" w:rsidRDefault="008972CC" w:rsidP="008972CC">
      <w:pPr>
        <w:jc w:val="center"/>
        <w:rPr>
          <w:b/>
          <w:bCs/>
          <w:sz w:val="28"/>
          <w:szCs w:val="28"/>
        </w:rPr>
      </w:pPr>
      <w:r w:rsidRPr="000F522D">
        <w:rPr>
          <w:b/>
          <w:bCs/>
          <w:sz w:val="28"/>
          <w:szCs w:val="28"/>
        </w:rPr>
        <w:t>Тарифы на электрическую энергию для населения и приравненных к нему категорий потребителей по Кемеровской области</w:t>
      </w:r>
    </w:p>
    <w:tbl>
      <w:tblPr>
        <w:tblpPr w:leftFromText="180" w:rightFromText="180" w:vertAnchor="text" w:horzAnchor="margin" w:tblpXSpec="center" w:tblpY="241"/>
        <w:tblW w:w="10508" w:type="dxa"/>
        <w:tblLook w:val="0000"/>
      </w:tblPr>
      <w:tblGrid>
        <w:gridCol w:w="900"/>
        <w:gridCol w:w="6368"/>
        <w:gridCol w:w="1541"/>
        <w:gridCol w:w="1699"/>
      </w:tblGrid>
      <w:tr w:rsidR="008972CC" w:rsidRPr="00D834E9" w:rsidTr="008972CC">
        <w:trPr>
          <w:trHeight w:val="705"/>
          <w:tblHeader/>
        </w:trPr>
        <w:tc>
          <w:tcPr>
            <w:tcW w:w="900" w:type="dxa"/>
            <w:tcBorders>
              <w:top w:val="single" w:sz="4" w:space="0" w:color="auto"/>
              <w:left w:val="single" w:sz="4" w:space="0" w:color="auto"/>
              <w:bottom w:val="single" w:sz="4" w:space="0" w:color="auto"/>
              <w:right w:val="nil"/>
            </w:tcBorders>
            <w:shd w:val="clear" w:color="auto" w:fill="auto"/>
            <w:vAlign w:val="center"/>
          </w:tcPr>
          <w:p w:rsidR="008972CC" w:rsidRPr="0079169F" w:rsidRDefault="008972CC" w:rsidP="008972CC">
            <w:pPr>
              <w:jc w:val="center"/>
              <w:rPr>
                <w:b/>
                <w:sz w:val="26"/>
                <w:szCs w:val="26"/>
              </w:rPr>
            </w:pPr>
            <w:r w:rsidRPr="0079169F">
              <w:rPr>
                <w:b/>
                <w:sz w:val="26"/>
                <w:szCs w:val="26"/>
              </w:rPr>
              <w:t>№</w:t>
            </w:r>
            <w:r>
              <w:rPr>
                <w:b/>
                <w:sz w:val="26"/>
                <w:szCs w:val="26"/>
              </w:rPr>
              <w:t xml:space="preserve"> </w:t>
            </w:r>
            <w:r w:rsidRPr="0079169F">
              <w:rPr>
                <w:b/>
                <w:sz w:val="26"/>
                <w:szCs w:val="26"/>
              </w:rPr>
              <w:t>п/п</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center"/>
          </w:tcPr>
          <w:p w:rsidR="008972CC" w:rsidRPr="0079169F" w:rsidRDefault="008972CC" w:rsidP="008972CC">
            <w:pPr>
              <w:jc w:val="center"/>
              <w:rPr>
                <w:b/>
                <w:sz w:val="26"/>
                <w:szCs w:val="26"/>
              </w:rPr>
            </w:pPr>
            <w:r w:rsidRPr="0079169F">
              <w:rPr>
                <w:b/>
                <w:sz w:val="26"/>
                <w:szCs w:val="26"/>
              </w:rPr>
              <w:t>Показатель (группы потребителей с разбивкой</w:t>
            </w:r>
            <w:r>
              <w:rPr>
                <w:b/>
                <w:sz w:val="26"/>
                <w:szCs w:val="26"/>
              </w:rPr>
              <w:t xml:space="preserve"> по</w:t>
            </w:r>
            <w:r w:rsidRPr="0079169F">
              <w:rPr>
                <w:b/>
                <w:sz w:val="26"/>
                <w:szCs w:val="26"/>
              </w:rPr>
              <w:t xml:space="preserve"> ставкам и дифференциацией по зонам суток)</w:t>
            </w:r>
          </w:p>
        </w:tc>
        <w:tc>
          <w:tcPr>
            <w:tcW w:w="1541" w:type="dxa"/>
            <w:tcBorders>
              <w:top w:val="single" w:sz="4" w:space="0" w:color="auto"/>
              <w:left w:val="nil"/>
              <w:bottom w:val="single" w:sz="4" w:space="0" w:color="auto"/>
              <w:right w:val="single" w:sz="4" w:space="0" w:color="auto"/>
            </w:tcBorders>
            <w:shd w:val="clear" w:color="auto" w:fill="auto"/>
            <w:vAlign w:val="center"/>
          </w:tcPr>
          <w:p w:rsidR="008972CC" w:rsidRPr="0079169F" w:rsidRDefault="008972CC" w:rsidP="008972CC">
            <w:pPr>
              <w:jc w:val="center"/>
              <w:rPr>
                <w:b/>
                <w:sz w:val="26"/>
                <w:szCs w:val="26"/>
              </w:rPr>
            </w:pPr>
            <w:r w:rsidRPr="0079169F">
              <w:rPr>
                <w:b/>
                <w:sz w:val="26"/>
                <w:szCs w:val="26"/>
              </w:rPr>
              <w:t>Единица измерения</w:t>
            </w:r>
          </w:p>
        </w:tc>
        <w:tc>
          <w:tcPr>
            <w:tcW w:w="1699" w:type="dxa"/>
            <w:tcBorders>
              <w:top w:val="single" w:sz="4" w:space="0" w:color="auto"/>
              <w:left w:val="nil"/>
              <w:bottom w:val="single" w:sz="4" w:space="0" w:color="auto"/>
              <w:right w:val="single" w:sz="4" w:space="0" w:color="auto"/>
            </w:tcBorders>
            <w:shd w:val="clear" w:color="auto" w:fill="auto"/>
            <w:vAlign w:val="center"/>
          </w:tcPr>
          <w:p w:rsidR="008972CC" w:rsidRPr="0079169F" w:rsidRDefault="008972CC" w:rsidP="008972CC">
            <w:pPr>
              <w:jc w:val="center"/>
              <w:rPr>
                <w:b/>
                <w:sz w:val="26"/>
                <w:szCs w:val="26"/>
              </w:rPr>
            </w:pPr>
            <w:r w:rsidRPr="0079169F">
              <w:rPr>
                <w:b/>
                <w:sz w:val="26"/>
                <w:szCs w:val="26"/>
              </w:rPr>
              <w:t>Цена (тариф)</w:t>
            </w:r>
          </w:p>
        </w:tc>
      </w:tr>
      <w:tr w:rsidR="008972CC" w:rsidRPr="00D834E9" w:rsidTr="008972CC">
        <w:trPr>
          <w:trHeight w:val="330"/>
        </w:trPr>
        <w:tc>
          <w:tcPr>
            <w:tcW w:w="900" w:type="dxa"/>
            <w:tcBorders>
              <w:top w:val="single" w:sz="4" w:space="0" w:color="auto"/>
              <w:left w:val="single" w:sz="4" w:space="0" w:color="auto"/>
              <w:bottom w:val="single" w:sz="4" w:space="0" w:color="auto"/>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Население (тарифы указываются с учетом НДС)</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A314CE" w:rsidRDefault="008972CC" w:rsidP="008972CC">
            <w:pPr>
              <w:jc w:val="center"/>
              <w:rPr>
                <w:b/>
                <w:sz w:val="26"/>
                <w:szCs w:val="26"/>
              </w:rPr>
            </w:pPr>
            <w:r w:rsidRPr="00A314CE">
              <w:rPr>
                <w:b/>
                <w:sz w:val="26"/>
                <w:szCs w:val="26"/>
              </w:rPr>
              <w:t>1.1</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A314CE" w:rsidRDefault="008972CC" w:rsidP="008972CC">
            <w:pPr>
              <w:rPr>
                <w:b/>
                <w:sz w:val="26"/>
                <w:szCs w:val="26"/>
              </w:rPr>
            </w:pPr>
            <w:r w:rsidRPr="00A314CE">
              <w:rPr>
                <w:b/>
                <w:sz w:val="26"/>
                <w:szCs w:val="26"/>
              </w:rPr>
              <w:t>Население, за исключением указанного в пунктах 1.2 и 1.3</w:t>
            </w:r>
            <w:r>
              <w:rPr>
                <w:b/>
                <w:sz w:val="26"/>
                <w:szCs w:val="26"/>
              </w:rPr>
              <w:t xml:space="preserve"> </w:t>
            </w:r>
            <w:r w:rsidRPr="00A314CE">
              <w:rPr>
                <w:b/>
                <w:sz w:val="26"/>
                <w:szCs w:val="26"/>
                <w:vertAlign w:val="superscript"/>
              </w:rPr>
              <w:t>1</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1.1.1</w:t>
            </w: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Одноставочный тариф</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2,18</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1.1.2</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vertAlign w:val="superscript"/>
              </w:rPr>
            </w:pPr>
            <w:r w:rsidRPr="00D834E9">
              <w:rPr>
                <w:sz w:val="26"/>
                <w:szCs w:val="26"/>
              </w:rPr>
              <w:t xml:space="preserve">Тариф, дифференцированный по двум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2,84</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1,47</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1.1.3</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трем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3,96</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2,18</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1,47</w:t>
            </w:r>
          </w:p>
        </w:tc>
      </w:tr>
      <w:tr w:rsidR="008972CC" w:rsidRPr="00D834E9" w:rsidTr="008972CC">
        <w:trPr>
          <w:trHeight w:val="990"/>
        </w:trPr>
        <w:tc>
          <w:tcPr>
            <w:tcW w:w="900" w:type="dxa"/>
            <w:tcBorders>
              <w:top w:val="nil"/>
              <w:left w:val="single" w:sz="4" w:space="0" w:color="auto"/>
              <w:bottom w:val="single" w:sz="4" w:space="0" w:color="auto"/>
              <w:right w:val="nil"/>
            </w:tcBorders>
            <w:shd w:val="clear" w:color="auto" w:fill="auto"/>
            <w:noWrap/>
            <w:vAlign w:val="center"/>
          </w:tcPr>
          <w:p w:rsidR="008972CC" w:rsidRPr="00A314CE" w:rsidRDefault="008972CC" w:rsidP="008972CC">
            <w:pPr>
              <w:jc w:val="center"/>
              <w:rPr>
                <w:b/>
                <w:sz w:val="26"/>
                <w:szCs w:val="26"/>
              </w:rPr>
            </w:pPr>
            <w:r w:rsidRPr="00A314CE">
              <w:rPr>
                <w:b/>
                <w:sz w:val="26"/>
                <w:szCs w:val="26"/>
              </w:rPr>
              <w:t>1.2</w:t>
            </w:r>
          </w:p>
        </w:tc>
        <w:tc>
          <w:tcPr>
            <w:tcW w:w="960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972CC" w:rsidRPr="00A314CE" w:rsidRDefault="008972CC" w:rsidP="008972CC">
            <w:pPr>
              <w:rPr>
                <w:b/>
                <w:sz w:val="26"/>
                <w:szCs w:val="26"/>
              </w:rPr>
            </w:pPr>
            <w:r w:rsidRPr="00A314CE">
              <w:rPr>
                <w:b/>
                <w:sz w:val="26"/>
                <w:szCs w:val="26"/>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r>
              <w:rPr>
                <w:b/>
                <w:sz w:val="26"/>
                <w:szCs w:val="26"/>
              </w:rPr>
              <w:t xml:space="preserve"> </w:t>
            </w:r>
            <w:r w:rsidRPr="00A314CE">
              <w:rPr>
                <w:b/>
                <w:sz w:val="26"/>
                <w:szCs w:val="26"/>
                <w:vertAlign w:val="superscript"/>
              </w:rPr>
              <w:t>3</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1.2.1</w:t>
            </w: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Одноставочный тариф</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1,53</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1.2.2</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двум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1,99</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1,03</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lastRenderedPageBreak/>
              <w:t>1.2.3</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трем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2,77</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1,53</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1,03</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A314CE" w:rsidRDefault="008972CC" w:rsidP="008972CC">
            <w:pPr>
              <w:jc w:val="center"/>
              <w:rPr>
                <w:b/>
                <w:sz w:val="26"/>
                <w:szCs w:val="26"/>
              </w:rPr>
            </w:pPr>
            <w:r w:rsidRPr="00A314CE">
              <w:rPr>
                <w:b/>
                <w:sz w:val="26"/>
                <w:szCs w:val="26"/>
              </w:rPr>
              <w:t>1.3</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A314CE" w:rsidRDefault="008972CC" w:rsidP="008972CC">
            <w:pPr>
              <w:rPr>
                <w:b/>
                <w:sz w:val="26"/>
                <w:szCs w:val="26"/>
              </w:rPr>
            </w:pPr>
            <w:r w:rsidRPr="00A314CE">
              <w:rPr>
                <w:b/>
                <w:sz w:val="26"/>
                <w:szCs w:val="26"/>
              </w:rPr>
              <w:t>Население, проживающе</w:t>
            </w:r>
            <w:r>
              <w:rPr>
                <w:b/>
                <w:sz w:val="26"/>
                <w:szCs w:val="26"/>
              </w:rPr>
              <w:t xml:space="preserve">е в сельских населенных пунктах </w:t>
            </w:r>
            <w:r w:rsidRPr="00A314CE">
              <w:rPr>
                <w:b/>
                <w:sz w:val="26"/>
                <w:szCs w:val="26"/>
                <w:vertAlign w:val="superscript"/>
              </w:rPr>
              <w:t>3</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1.3.1</w:t>
            </w: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Одноставочный тариф</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1,53</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1.3.2</w:t>
            </w:r>
          </w:p>
        </w:tc>
        <w:tc>
          <w:tcPr>
            <w:tcW w:w="96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двум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1,99</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1,03</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1.3.3</w:t>
            </w:r>
          </w:p>
        </w:tc>
        <w:tc>
          <w:tcPr>
            <w:tcW w:w="96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трем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2,77</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1,53</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1,03</w:t>
            </w:r>
          </w:p>
        </w:tc>
      </w:tr>
      <w:tr w:rsidR="008972CC" w:rsidRPr="00D834E9" w:rsidTr="008972CC">
        <w:trPr>
          <w:trHeight w:val="390"/>
        </w:trPr>
        <w:tc>
          <w:tcPr>
            <w:tcW w:w="900" w:type="dxa"/>
            <w:tcBorders>
              <w:top w:val="nil"/>
              <w:left w:val="single" w:sz="4" w:space="0" w:color="auto"/>
              <w:bottom w:val="single" w:sz="4" w:space="0" w:color="auto"/>
              <w:right w:val="nil"/>
            </w:tcBorders>
            <w:shd w:val="clear" w:color="auto" w:fill="auto"/>
            <w:noWrap/>
            <w:vAlign w:val="center"/>
          </w:tcPr>
          <w:p w:rsidR="008972CC" w:rsidRPr="00A314CE" w:rsidRDefault="008972CC" w:rsidP="008972CC">
            <w:pPr>
              <w:jc w:val="center"/>
              <w:rPr>
                <w:b/>
                <w:sz w:val="26"/>
                <w:szCs w:val="26"/>
              </w:rPr>
            </w:pPr>
            <w:r w:rsidRPr="00A314CE">
              <w:rPr>
                <w:b/>
                <w:sz w:val="26"/>
                <w:szCs w:val="26"/>
              </w:rPr>
              <w:t>2</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A314CE" w:rsidRDefault="008972CC" w:rsidP="008972CC">
            <w:pPr>
              <w:rPr>
                <w:b/>
                <w:sz w:val="26"/>
                <w:szCs w:val="26"/>
              </w:rPr>
            </w:pPr>
            <w:r w:rsidRPr="00A314CE">
              <w:rPr>
                <w:b/>
                <w:sz w:val="26"/>
                <w:szCs w:val="26"/>
              </w:rPr>
              <w:t>Потребители, приравненные к населению (тарифы указываются с учетом НДС)</w:t>
            </w:r>
            <w:r>
              <w:rPr>
                <w:b/>
                <w:sz w:val="26"/>
                <w:szCs w:val="26"/>
              </w:rPr>
              <w:t xml:space="preserve"> </w:t>
            </w:r>
            <w:r w:rsidRPr="00A314CE">
              <w:rPr>
                <w:b/>
                <w:sz w:val="26"/>
                <w:szCs w:val="26"/>
                <w:vertAlign w:val="superscript"/>
              </w:rPr>
              <w:t>4</w:t>
            </w:r>
          </w:p>
        </w:tc>
      </w:tr>
      <w:tr w:rsidR="008972CC" w:rsidRPr="00D834E9" w:rsidTr="008972CC">
        <w:trPr>
          <w:trHeight w:val="330"/>
        </w:trPr>
        <w:tc>
          <w:tcPr>
            <w:tcW w:w="900" w:type="dxa"/>
            <w:tcBorders>
              <w:top w:val="nil"/>
              <w:left w:val="single" w:sz="4" w:space="0" w:color="auto"/>
              <w:bottom w:val="single" w:sz="4" w:space="0" w:color="auto"/>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2.1</w:t>
            </w: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Одноставочный тариф</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2,18</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2.2</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двум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2,84</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jc w:val="cente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1,47</w:t>
            </w:r>
          </w:p>
        </w:tc>
      </w:tr>
      <w:tr w:rsidR="008972CC" w:rsidRPr="00D834E9" w:rsidTr="008972CC">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8972CC" w:rsidRPr="00D834E9" w:rsidRDefault="008972CC" w:rsidP="008972CC">
            <w:pPr>
              <w:jc w:val="center"/>
              <w:rPr>
                <w:sz w:val="26"/>
                <w:szCs w:val="26"/>
              </w:rPr>
            </w:pPr>
            <w:r w:rsidRPr="00D834E9">
              <w:rPr>
                <w:sz w:val="26"/>
                <w:szCs w:val="26"/>
              </w:rPr>
              <w:t>2.3</w:t>
            </w:r>
          </w:p>
        </w:tc>
        <w:tc>
          <w:tcPr>
            <w:tcW w:w="9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 xml:space="preserve">Тариф, дифференцированный по трем зонам суток </w:t>
            </w:r>
            <w:r w:rsidRPr="00D834E9">
              <w:rPr>
                <w:b/>
                <w:sz w:val="26"/>
                <w:szCs w:val="26"/>
                <w:vertAlign w:val="superscript"/>
              </w:rPr>
              <w:t>2</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3,96</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2,18</w:t>
            </w:r>
          </w:p>
        </w:tc>
      </w:tr>
      <w:tr w:rsidR="008972CC" w:rsidRPr="00D834E9" w:rsidTr="008972CC">
        <w:trPr>
          <w:trHeight w:val="330"/>
        </w:trPr>
        <w:tc>
          <w:tcPr>
            <w:tcW w:w="900" w:type="dxa"/>
            <w:vMerge/>
            <w:tcBorders>
              <w:top w:val="nil"/>
              <w:left w:val="single" w:sz="4" w:space="0" w:color="auto"/>
              <w:bottom w:val="single" w:sz="4" w:space="0" w:color="000000"/>
              <w:right w:val="nil"/>
            </w:tcBorders>
            <w:vAlign w:val="center"/>
          </w:tcPr>
          <w:p w:rsidR="008972CC" w:rsidRPr="00D834E9" w:rsidRDefault="008972CC" w:rsidP="008972CC">
            <w:pPr>
              <w:rPr>
                <w:sz w:val="26"/>
                <w:szCs w:val="26"/>
              </w:rPr>
            </w:pPr>
          </w:p>
        </w:tc>
        <w:tc>
          <w:tcPr>
            <w:tcW w:w="6368" w:type="dxa"/>
            <w:tcBorders>
              <w:top w:val="nil"/>
              <w:left w:val="single" w:sz="4" w:space="0" w:color="auto"/>
              <w:bottom w:val="single" w:sz="4" w:space="0" w:color="auto"/>
              <w:right w:val="single" w:sz="4" w:space="0" w:color="auto"/>
            </w:tcBorders>
            <w:shd w:val="clear" w:color="auto" w:fill="auto"/>
            <w:noWrap/>
            <w:vAlign w:val="center"/>
          </w:tcPr>
          <w:p w:rsidR="008972CC" w:rsidRPr="00D834E9" w:rsidRDefault="008972CC" w:rsidP="008972CC">
            <w:pPr>
              <w:rPr>
                <w:sz w:val="26"/>
                <w:szCs w:val="26"/>
              </w:rPr>
            </w:pPr>
            <w:r w:rsidRPr="00D834E9">
              <w:rPr>
                <w:sz w:val="26"/>
                <w:szCs w:val="26"/>
              </w:rPr>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8972CC" w:rsidRPr="00D834E9" w:rsidRDefault="008972CC" w:rsidP="008972CC">
            <w:pPr>
              <w:jc w:val="center"/>
              <w:rPr>
                <w:sz w:val="26"/>
                <w:szCs w:val="26"/>
              </w:rPr>
            </w:pPr>
            <w:r w:rsidRPr="00D834E9">
              <w:rPr>
                <w:sz w:val="26"/>
                <w:szCs w:val="26"/>
              </w:rPr>
              <w:t>руб./кВт·ч</w:t>
            </w:r>
          </w:p>
        </w:tc>
        <w:tc>
          <w:tcPr>
            <w:tcW w:w="1699" w:type="dxa"/>
            <w:tcBorders>
              <w:top w:val="nil"/>
              <w:left w:val="nil"/>
              <w:bottom w:val="single" w:sz="4" w:space="0" w:color="auto"/>
              <w:right w:val="single" w:sz="4" w:space="0" w:color="auto"/>
            </w:tcBorders>
            <w:shd w:val="clear" w:color="auto" w:fill="auto"/>
            <w:noWrap/>
            <w:vAlign w:val="center"/>
          </w:tcPr>
          <w:p w:rsidR="008972CC" w:rsidRPr="007B6E3F" w:rsidRDefault="008972CC" w:rsidP="008972CC">
            <w:pPr>
              <w:jc w:val="center"/>
              <w:rPr>
                <w:sz w:val="28"/>
                <w:szCs w:val="28"/>
              </w:rPr>
            </w:pPr>
            <w:r w:rsidRPr="007B6E3F">
              <w:rPr>
                <w:sz w:val="28"/>
                <w:szCs w:val="28"/>
              </w:rPr>
              <w:t>1,47</w:t>
            </w:r>
          </w:p>
        </w:tc>
      </w:tr>
    </w:tbl>
    <w:p w:rsidR="008972CC" w:rsidRPr="008379C8" w:rsidRDefault="008972CC" w:rsidP="008972CC">
      <w:pPr>
        <w:rPr>
          <w:sz w:val="12"/>
          <w:szCs w:val="12"/>
        </w:rPr>
      </w:pPr>
    </w:p>
    <w:p w:rsidR="008972CC" w:rsidRDefault="008972CC" w:rsidP="008972CC">
      <w:pPr>
        <w:autoSpaceDE w:val="0"/>
        <w:autoSpaceDN w:val="0"/>
        <w:adjustRightInd w:val="0"/>
        <w:spacing w:line="216" w:lineRule="auto"/>
        <w:ind w:firstLine="540"/>
        <w:jc w:val="both"/>
        <w:outlineLvl w:val="2"/>
        <w:rPr>
          <w:b/>
          <w:vertAlign w:val="superscript"/>
        </w:rPr>
      </w:pPr>
    </w:p>
    <w:p w:rsidR="008972CC" w:rsidRPr="00A314CE" w:rsidRDefault="008972CC" w:rsidP="008972CC">
      <w:pPr>
        <w:autoSpaceDE w:val="0"/>
        <w:autoSpaceDN w:val="0"/>
        <w:adjustRightInd w:val="0"/>
        <w:spacing w:line="216" w:lineRule="auto"/>
        <w:ind w:firstLine="540"/>
        <w:jc w:val="both"/>
        <w:outlineLvl w:val="2"/>
      </w:pPr>
      <w:r w:rsidRPr="00A314CE">
        <w:rPr>
          <w:b/>
          <w:vertAlign w:val="superscript"/>
        </w:rPr>
        <w:t>1</w:t>
      </w:r>
      <w:r w:rsidRPr="00A314CE">
        <w:t xml:space="preserve"> Пункт 1.1 применяется в отношении потребителей, использующих электрическую энергию на коммунально-бытовые нужды и в местах общего пользования жилых домов, проживающих в </w:t>
      </w:r>
      <w:r w:rsidRPr="00A314CE">
        <w:lastRenderedPageBreak/>
        <w:t>городских населенных пунктах в жилых домах, оборудованных в установленном порядке (в соответствии со статьей 14 Жилищного кодекса Российской Федерации) стационарными газовыми и иными видами плит, за исключением потребителей, проживающих в домах, оборудованных в установленном порядке стационарными электроплитами и (или) электроотопительными установками.</w:t>
      </w:r>
    </w:p>
    <w:p w:rsidR="008972CC" w:rsidRPr="00A314CE" w:rsidRDefault="008972CC" w:rsidP="008972CC">
      <w:pPr>
        <w:autoSpaceDE w:val="0"/>
        <w:autoSpaceDN w:val="0"/>
        <w:adjustRightInd w:val="0"/>
        <w:ind w:firstLine="540"/>
        <w:jc w:val="both"/>
      </w:pPr>
      <w:r w:rsidRPr="00A314CE">
        <w:rPr>
          <w:b/>
          <w:vertAlign w:val="superscript"/>
        </w:rPr>
        <w:t xml:space="preserve">2 </w:t>
      </w:r>
      <w:r w:rsidRPr="00A314CE">
        <w:t>Интервалы тарифных зон суток приведены в Приказе ФСТ РФ от 16.12.2010 №440-э/8 «Об интервалах тарифных зон суток для энергозон (ОЭС) России по месяцам 2011 года».</w:t>
      </w:r>
      <w:r w:rsidRPr="002A2D7E">
        <w:t xml:space="preserve"> </w:t>
      </w:r>
      <w:r w:rsidRPr="00270B42">
        <w:t>Пиковая зона в тарифе, дифференцированном по двум зонам суток, в т.ч. содержит время полупиковой зоны</w:t>
      </w:r>
      <w:r>
        <w:t>.</w:t>
      </w:r>
    </w:p>
    <w:p w:rsidR="008972CC" w:rsidRPr="00A314CE" w:rsidRDefault="008972CC" w:rsidP="008972CC">
      <w:pPr>
        <w:spacing w:line="216" w:lineRule="auto"/>
        <w:ind w:firstLine="540"/>
        <w:jc w:val="both"/>
      </w:pPr>
      <w:r w:rsidRPr="00A314CE">
        <w:rPr>
          <w:b/>
          <w:vertAlign w:val="superscript"/>
        </w:rPr>
        <w:t>3</w:t>
      </w:r>
      <w:r w:rsidRPr="00A314CE">
        <w:t xml:space="preserve"> Во исполнение постановления Правительства РФ от 07.12.1998 №1444 «Об основах ценообразования в отношении электрической энергии, потребляемой населением» в пунктах 1.2 и 1.3 указаны тарифы с учетом применения понижающего коэффициента 0,7 в отношении потребителей, использующих электрическую энергию на коммунально-бытовые нужды и в местах общего пользования жилых домов, проживающих в городских населенных пунктах в жилых домах, оборудованных в установленном порядке (в соответствии со статьей 14 Жилищного кодекса Российской Федерации) стационарными электроплитами и (или) электроотопительными установками, за исключением потребителей, проживающих в жилых домах, оборудованных в установленном порядке стационарными газовыми и иными видами плит, а также без исключения в отношении потребителей электрической энергии, проживающих в сельской местности.</w:t>
      </w:r>
    </w:p>
    <w:p w:rsidR="008972CC" w:rsidRPr="00A314CE" w:rsidRDefault="008972CC" w:rsidP="008972CC">
      <w:pPr>
        <w:autoSpaceDE w:val="0"/>
        <w:autoSpaceDN w:val="0"/>
        <w:adjustRightInd w:val="0"/>
        <w:ind w:firstLine="540"/>
        <w:jc w:val="both"/>
        <w:outlineLvl w:val="0"/>
      </w:pPr>
      <w:r w:rsidRPr="00A314CE">
        <w:rPr>
          <w:b/>
          <w:vertAlign w:val="superscript"/>
        </w:rPr>
        <w:t>4</w:t>
      </w:r>
      <w:r w:rsidRPr="00A314CE">
        <w:t xml:space="preserve"> Применяется в отношении Перечня категорий потребителей, которые приравнены к населению и которым электрическая энергия (мощность) поставляется по регулируемым ценам (тарифам), утвержденного приказом ФСТ России от 31.12.2010 № 655-э:</w:t>
      </w:r>
    </w:p>
    <w:p w:rsidR="008972CC" w:rsidRPr="00A314CE" w:rsidRDefault="008972CC" w:rsidP="008972CC">
      <w:pPr>
        <w:autoSpaceDE w:val="0"/>
        <w:autoSpaceDN w:val="0"/>
        <w:adjustRightInd w:val="0"/>
        <w:ind w:firstLine="540"/>
        <w:jc w:val="both"/>
        <w:outlineLvl w:val="0"/>
      </w:pPr>
      <w:r w:rsidRPr="00A314CE">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приобретающих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 </w:t>
      </w:r>
    </w:p>
    <w:p w:rsidR="008972CC" w:rsidRPr="00A314CE" w:rsidRDefault="008972CC" w:rsidP="008972CC">
      <w:pPr>
        <w:autoSpaceDE w:val="0"/>
        <w:autoSpaceDN w:val="0"/>
        <w:adjustRightInd w:val="0"/>
        <w:ind w:firstLine="540"/>
        <w:jc w:val="both"/>
        <w:outlineLvl w:val="0"/>
      </w:pPr>
      <w:r w:rsidRPr="00A314CE">
        <w: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w:t>
      </w:r>
    </w:p>
    <w:p w:rsidR="008972CC" w:rsidRPr="00A314CE" w:rsidRDefault="008972CC" w:rsidP="008972CC">
      <w:pPr>
        <w:autoSpaceDE w:val="0"/>
        <w:autoSpaceDN w:val="0"/>
        <w:adjustRightInd w:val="0"/>
        <w:ind w:firstLine="540"/>
        <w:jc w:val="both"/>
        <w:outlineLvl w:val="0"/>
      </w:pPr>
      <w:r w:rsidRPr="00A314CE">
        <w:t>-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8972CC" w:rsidRPr="00A314CE" w:rsidRDefault="008972CC" w:rsidP="008972CC">
      <w:pPr>
        <w:autoSpaceDE w:val="0"/>
        <w:autoSpaceDN w:val="0"/>
        <w:adjustRightInd w:val="0"/>
        <w:ind w:firstLine="540"/>
        <w:jc w:val="both"/>
        <w:outlineLvl w:val="0"/>
      </w:pPr>
      <w:r w:rsidRPr="00A314CE">
        <w:lastRenderedPageBreak/>
        <w:t>- физические лица, приобретающие электрическую энергию (мощность) в целях потребления в помещениях для содержания осужденных, при условии наличия раздельного учета в указанных помещениях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w:t>
      </w:r>
    </w:p>
    <w:p w:rsidR="008972CC" w:rsidRPr="00A314CE" w:rsidRDefault="008972CC" w:rsidP="008972CC">
      <w:pPr>
        <w:autoSpaceDE w:val="0"/>
        <w:autoSpaceDN w:val="0"/>
        <w:adjustRightInd w:val="0"/>
        <w:ind w:firstLine="540"/>
        <w:jc w:val="both"/>
        <w:outlineLvl w:val="0"/>
      </w:pPr>
      <w:r w:rsidRPr="00A314CE">
        <w:t>- физические лица, приобретающие электрическую энергию (мощность) в целях потребления в населенных пунктах, жилых зонах при воинских частях, рассчитывающихся по общему счетчику на вводе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w:t>
      </w:r>
    </w:p>
    <w:p w:rsidR="008972CC" w:rsidRPr="00A314CE" w:rsidRDefault="008972CC" w:rsidP="008972CC">
      <w:pPr>
        <w:autoSpaceDE w:val="0"/>
        <w:autoSpaceDN w:val="0"/>
        <w:adjustRightInd w:val="0"/>
        <w:ind w:firstLine="540"/>
        <w:jc w:val="both"/>
        <w:outlineLvl w:val="0"/>
      </w:pPr>
      <w:r w:rsidRPr="00A314CE">
        <w:t>- содержащиеся за счет прихожан религиозные организации;</w:t>
      </w:r>
    </w:p>
    <w:p w:rsidR="008972CC" w:rsidRDefault="008972CC" w:rsidP="008972CC">
      <w:pPr>
        <w:autoSpaceDE w:val="0"/>
        <w:autoSpaceDN w:val="0"/>
        <w:adjustRightInd w:val="0"/>
        <w:ind w:firstLine="540"/>
        <w:jc w:val="both"/>
        <w:outlineLvl w:val="0"/>
      </w:pPr>
      <w:r w:rsidRPr="00A314CE">
        <w:t>- объединенные хозяйственные постройки физических лиц (погреба, сараи и иные сооружения аналогичного назначения).</w:t>
      </w:r>
    </w:p>
    <w:p w:rsidR="008972CC" w:rsidRPr="00606795" w:rsidRDefault="008972CC" w:rsidP="008972CC">
      <w:pPr>
        <w:autoSpaceDE w:val="0"/>
        <w:autoSpaceDN w:val="0"/>
        <w:adjustRightInd w:val="0"/>
        <w:ind w:firstLine="540"/>
        <w:jc w:val="both"/>
        <w:outlineLvl w:val="0"/>
      </w:pPr>
      <w:r w:rsidRPr="00606795">
        <w:t xml:space="preserve">Потребители, заключившие с гарантирующим поставщиком договор купли-продажи, оплачивают гарантирующему поставщику стоимость покупки электрической энергии (мощности), стоимость сбытовых услуг, стоимость услуг, оказание которых является неотъемлемой частью процесса снабжения электрической энергией (инфраструктурные платежи), за исключением услуг по передаче электрической энергии. </w:t>
      </w:r>
    </w:p>
    <w:p w:rsidR="008972CC" w:rsidRPr="00606795" w:rsidRDefault="008972CC" w:rsidP="008972CC">
      <w:pPr>
        <w:autoSpaceDE w:val="0"/>
        <w:autoSpaceDN w:val="0"/>
        <w:adjustRightInd w:val="0"/>
        <w:ind w:firstLine="540"/>
        <w:jc w:val="both"/>
        <w:outlineLvl w:val="0"/>
      </w:pPr>
      <w:r w:rsidRPr="00606795">
        <w:t xml:space="preserve">Стоимость услуг, оказание которых является неотъемлемой частью процесса снабжения электрической энергией (инфраструктурные платежи), равна </w:t>
      </w:r>
      <w:r>
        <w:t>3,113</w:t>
      </w:r>
      <w:r w:rsidRPr="00606795">
        <w:t xml:space="preserve"> руб./МВтч (без НДС). </w:t>
      </w:r>
    </w:p>
    <w:p w:rsidR="008972CC" w:rsidRPr="00606795" w:rsidRDefault="008972CC" w:rsidP="008972CC">
      <w:pPr>
        <w:autoSpaceDE w:val="0"/>
        <w:autoSpaceDN w:val="0"/>
        <w:adjustRightInd w:val="0"/>
        <w:ind w:firstLine="540"/>
        <w:jc w:val="both"/>
        <w:outlineLvl w:val="0"/>
      </w:pPr>
      <w:r w:rsidRPr="00606795">
        <w:t>Средневзвешенная стоимость покупки единицы электрической энергии (мощности) в интересах населения и потребителей, приравненных к населению, составляет:</w:t>
      </w:r>
    </w:p>
    <w:p w:rsidR="008972CC" w:rsidRPr="00606795" w:rsidRDefault="008972CC" w:rsidP="008972CC">
      <w:pPr>
        <w:autoSpaceDE w:val="0"/>
        <w:autoSpaceDN w:val="0"/>
        <w:adjustRightInd w:val="0"/>
        <w:ind w:firstLine="540"/>
        <w:jc w:val="both"/>
        <w:outlineLvl w:val="0"/>
        <w:rPr>
          <w:b/>
        </w:rPr>
      </w:pPr>
      <w:r w:rsidRPr="00606795">
        <w:rPr>
          <w:b/>
        </w:rPr>
        <w:t>ОАО «Кузбассэнергосбыт»</w:t>
      </w:r>
    </w:p>
    <w:p w:rsidR="008972CC" w:rsidRPr="00606795" w:rsidRDefault="008972CC" w:rsidP="008972CC">
      <w:pPr>
        <w:autoSpaceDE w:val="0"/>
        <w:autoSpaceDN w:val="0"/>
        <w:adjustRightInd w:val="0"/>
        <w:ind w:firstLine="540"/>
        <w:jc w:val="both"/>
        <w:outlineLvl w:val="0"/>
      </w:pPr>
      <w:r w:rsidRPr="00606795">
        <w:t xml:space="preserve">- в соответствии с Приложением к постановлению Региональной энергетической комиссии Кемеровской области от 23.11.2010 №220, для населения, отнесенного </w:t>
      </w:r>
    </w:p>
    <w:p w:rsidR="008972CC" w:rsidRPr="00606795" w:rsidRDefault="008972CC" w:rsidP="008972CC">
      <w:pPr>
        <w:autoSpaceDE w:val="0"/>
        <w:autoSpaceDN w:val="0"/>
        <w:adjustRightInd w:val="0"/>
        <w:ind w:firstLine="540"/>
        <w:jc w:val="both"/>
        <w:outlineLvl w:val="0"/>
      </w:pPr>
      <w:r w:rsidRPr="00606795">
        <w:t>к группе 1.1 – 1</w:t>
      </w:r>
      <w:r>
        <w:t> 363,48</w:t>
      </w:r>
      <w:r w:rsidRPr="00606795">
        <w:t xml:space="preserve"> руб./МВтч (без НДС), </w:t>
      </w:r>
    </w:p>
    <w:p w:rsidR="008972CC" w:rsidRPr="00606795" w:rsidRDefault="008972CC" w:rsidP="008972CC">
      <w:pPr>
        <w:autoSpaceDE w:val="0"/>
        <w:autoSpaceDN w:val="0"/>
        <w:adjustRightInd w:val="0"/>
        <w:ind w:firstLine="540"/>
        <w:jc w:val="both"/>
        <w:outlineLvl w:val="0"/>
      </w:pPr>
      <w:r w:rsidRPr="00606795">
        <w:t xml:space="preserve">к группе 1.2 и 1.3 – </w:t>
      </w:r>
      <w:r>
        <w:t>812,63</w:t>
      </w:r>
      <w:r w:rsidRPr="00606795">
        <w:t> руб./МВтч (без НДС);</w:t>
      </w:r>
    </w:p>
    <w:p w:rsidR="008972CC" w:rsidRPr="00606795" w:rsidRDefault="008972CC" w:rsidP="008972CC">
      <w:pPr>
        <w:autoSpaceDE w:val="0"/>
        <w:autoSpaceDN w:val="0"/>
        <w:adjustRightInd w:val="0"/>
        <w:ind w:firstLine="540"/>
        <w:jc w:val="both"/>
        <w:outlineLvl w:val="0"/>
        <w:rPr>
          <w:b/>
        </w:rPr>
      </w:pPr>
      <w:r w:rsidRPr="00606795">
        <w:rPr>
          <w:b/>
        </w:rPr>
        <w:t xml:space="preserve">ООО «Металлэнергофинанс» </w:t>
      </w:r>
    </w:p>
    <w:p w:rsidR="008972CC" w:rsidRPr="00606795" w:rsidRDefault="008972CC" w:rsidP="008972CC">
      <w:pPr>
        <w:autoSpaceDE w:val="0"/>
        <w:autoSpaceDN w:val="0"/>
        <w:adjustRightInd w:val="0"/>
        <w:ind w:firstLine="540"/>
        <w:jc w:val="both"/>
        <w:outlineLvl w:val="0"/>
      </w:pPr>
      <w:r w:rsidRPr="00606795">
        <w:t xml:space="preserve">- в соответствии с Приложением к постановлению Региональной энергетической комиссии Кемеровской области от 23.11.2010 №220, для населения, отнесенного </w:t>
      </w:r>
    </w:p>
    <w:p w:rsidR="008972CC" w:rsidRPr="00606795" w:rsidRDefault="008972CC" w:rsidP="008972CC">
      <w:pPr>
        <w:autoSpaceDE w:val="0"/>
        <w:autoSpaceDN w:val="0"/>
        <w:adjustRightInd w:val="0"/>
        <w:ind w:firstLine="540"/>
        <w:jc w:val="both"/>
        <w:outlineLvl w:val="0"/>
      </w:pPr>
      <w:r w:rsidRPr="00606795">
        <w:t>к группе 1.1 – 1</w:t>
      </w:r>
      <w:r>
        <w:t> </w:t>
      </w:r>
      <w:r w:rsidRPr="00606795">
        <w:t>4</w:t>
      </w:r>
      <w:r>
        <w:t>21,81</w:t>
      </w:r>
      <w:r w:rsidRPr="00606795">
        <w:t xml:space="preserve"> руб./МВтч (без НДС), </w:t>
      </w:r>
    </w:p>
    <w:p w:rsidR="008972CC" w:rsidRDefault="008972CC" w:rsidP="008972CC">
      <w:pPr>
        <w:autoSpaceDE w:val="0"/>
        <w:autoSpaceDN w:val="0"/>
        <w:adjustRightInd w:val="0"/>
        <w:ind w:firstLine="540"/>
        <w:jc w:val="both"/>
        <w:outlineLvl w:val="0"/>
      </w:pPr>
      <w:r w:rsidRPr="00606795">
        <w:t xml:space="preserve">к группе 1.2 и 1.3 – </w:t>
      </w:r>
      <w:r>
        <w:t>870,96</w:t>
      </w:r>
      <w:r w:rsidRPr="00606795">
        <w:t> руб./МВтч (без НДС)</w:t>
      </w:r>
      <w:r>
        <w:t>.</w:t>
      </w:r>
    </w:p>
    <w:p w:rsidR="008972CC" w:rsidRPr="008972CC" w:rsidRDefault="008972CC" w:rsidP="008972CC"/>
    <w:sectPr w:rsidR="008972CC" w:rsidRPr="008972CC" w:rsidSect="00997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972CC"/>
    <w:rsid w:val="00005C5F"/>
    <w:rsid w:val="00006E66"/>
    <w:rsid w:val="00014333"/>
    <w:rsid w:val="00024B0D"/>
    <w:rsid w:val="00027B2E"/>
    <w:rsid w:val="0003140B"/>
    <w:rsid w:val="00033416"/>
    <w:rsid w:val="000358B5"/>
    <w:rsid w:val="0004691A"/>
    <w:rsid w:val="00063C12"/>
    <w:rsid w:val="000640EB"/>
    <w:rsid w:val="00067189"/>
    <w:rsid w:val="000728D1"/>
    <w:rsid w:val="00074AC5"/>
    <w:rsid w:val="0007504B"/>
    <w:rsid w:val="00081E90"/>
    <w:rsid w:val="00087197"/>
    <w:rsid w:val="00087E68"/>
    <w:rsid w:val="000934DF"/>
    <w:rsid w:val="000956DF"/>
    <w:rsid w:val="00095887"/>
    <w:rsid w:val="000A157A"/>
    <w:rsid w:val="000A35D6"/>
    <w:rsid w:val="000B0843"/>
    <w:rsid w:val="000B172E"/>
    <w:rsid w:val="000B1731"/>
    <w:rsid w:val="000B3DFF"/>
    <w:rsid w:val="000D0CD9"/>
    <w:rsid w:val="000D4B7A"/>
    <w:rsid w:val="000D5CC8"/>
    <w:rsid w:val="000D6406"/>
    <w:rsid w:val="000E0F68"/>
    <w:rsid w:val="000E4411"/>
    <w:rsid w:val="000F26D9"/>
    <w:rsid w:val="000F3898"/>
    <w:rsid w:val="000F6F4E"/>
    <w:rsid w:val="00103E28"/>
    <w:rsid w:val="0010466F"/>
    <w:rsid w:val="00104E36"/>
    <w:rsid w:val="00107389"/>
    <w:rsid w:val="00111315"/>
    <w:rsid w:val="001121F0"/>
    <w:rsid w:val="001139A1"/>
    <w:rsid w:val="00114F99"/>
    <w:rsid w:val="00120700"/>
    <w:rsid w:val="00127221"/>
    <w:rsid w:val="00130C26"/>
    <w:rsid w:val="00132220"/>
    <w:rsid w:val="001354F0"/>
    <w:rsid w:val="001404EB"/>
    <w:rsid w:val="00141967"/>
    <w:rsid w:val="00146DBF"/>
    <w:rsid w:val="00170C72"/>
    <w:rsid w:val="001727A5"/>
    <w:rsid w:val="0017722C"/>
    <w:rsid w:val="001857DE"/>
    <w:rsid w:val="00185954"/>
    <w:rsid w:val="00186046"/>
    <w:rsid w:val="00186778"/>
    <w:rsid w:val="001904B0"/>
    <w:rsid w:val="001925D3"/>
    <w:rsid w:val="00197A8C"/>
    <w:rsid w:val="001B30AC"/>
    <w:rsid w:val="001B75A0"/>
    <w:rsid w:val="001C0B2D"/>
    <w:rsid w:val="001C223A"/>
    <w:rsid w:val="001C35F8"/>
    <w:rsid w:val="001D77E2"/>
    <w:rsid w:val="001E3451"/>
    <w:rsid w:val="001E46F0"/>
    <w:rsid w:val="001E652C"/>
    <w:rsid w:val="001F0D49"/>
    <w:rsid w:val="001F7A28"/>
    <w:rsid w:val="0020046D"/>
    <w:rsid w:val="00206E14"/>
    <w:rsid w:val="00211ED7"/>
    <w:rsid w:val="00212EDE"/>
    <w:rsid w:val="00223FDF"/>
    <w:rsid w:val="002274FB"/>
    <w:rsid w:val="0023005A"/>
    <w:rsid w:val="002322DE"/>
    <w:rsid w:val="00235EFE"/>
    <w:rsid w:val="0023625F"/>
    <w:rsid w:val="002373FE"/>
    <w:rsid w:val="00237F20"/>
    <w:rsid w:val="00241B1C"/>
    <w:rsid w:val="0024283C"/>
    <w:rsid w:val="00246193"/>
    <w:rsid w:val="00246B26"/>
    <w:rsid w:val="00250FBA"/>
    <w:rsid w:val="002578AB"/>
    <w:rsid w:val="00265ACF"/>
    <w:rsid w:val="00267FF9"/>
    <w:rsid w:val="00270CC6"/>
    <w:rsid w:val="00271929"/>
    <w:rsid w:val="00271C0B"/>
    <w:rsid w:val="00280781"/>
    <w:rsid w:val="002816EC"/>
    <w:rsid w:val="00294A83"/>
    <w:rsid w:val="00294E81"/>
    <w:rsid w:val="00294F84"/>
    <w:rsid w:val="00295277"/>
    <w:rsid w:val="002965C8"/>
    <w:rsid w:val="002A14AC"/>
    <w:rsid w:val="002A1895"/>
    <w:rsid w:val="002A64C6"/>
    <w:rsid w:val="002B16D9"/>
    <w:rsid w:val="002B1BAE"/>
    <w:rsid w:val="002B20A5"/>
    <w:rsid w:val="002D4FA9"/>
    <w:rsid w:val="002D7071"/>
    <w:rsid w:val="002E4E19"/>
    <w:rsid w:val="002F034D"/>
    <w:rsid w:val="002F68F1"/>
    <w:rsid w:val="002F7873"/>
    <w:rsid w:val="002F7878"/>
    <w:rsid w:val="003021D5"/>
    <w:rsid w:val="0030282F"/>
    <w:rsid w:val="00304C51"/>
    <w:rsid w:val="00315755"/>
    <w:rsid w:val="00316CAF"/>
    <w:rsid w:val="00326A96"/>
    <w:rsid w:val="00330EAF"/>
    <w:rsid w:val="00346741"/>
    <w:rsid w:val="00347447"/>
    <w:rsid w:val="00352623"/>
    <w:rsid w:val="003538EA"/>
    <w:rsid w:val="003548DE"/>
    <w:rsid w:val="00356FBB"/>
    <w:rsid w:val="0036217A"/>
    <w:rsid w:val="00375727"/>
    <w:rsid w:val="00391218"/>
    <w:rsid w:val="003914ED"/>
    <w:rsid w:val="00391C12"/>
    <w:rsid w:val="0039263D"/>
    <w:rsid w:val="003A06DC"/>
    <w:rsid w:val="003A2ED3"/>
    <w:rsid w:val="003A4C2A"/>
    <w:rsid w:val="003A51FE"/>
    <w:rsid w:val="003A5365"/>
    <w:rsid w:val="003B1690"/>
    <w:rsid w:val="003B3CC1"/>
    <w:rsid w:val="003B3FEE"/>
    <w:rsid w:val="003B6ABC"/>
    <w:rsid w:val="003C0633"/>
    <w:rsid w:val="003C0C95"/>
    <w:rsid w:val="003C47CE"/>
    <w:rsid w:val="003C5C47"/>
    <w:rsid w:val="003D1124"/>
    <w:rsid w:val="003E2722"/>
    <w:rsid w:val="003E6010"/>
    <w:rsid w:val="003E6F87"/>
    <w:rsid w:val="003F13FA"/>
    <w:rsid w:val="003F17CA"/>
    <w:rsid w:val="003F27E6"/>
    <w:rsid w:val="00404D15"/>
    <w:rsid w:val="00414FC5"/>
    <w:rsid w:val="0041591E"/>
    <w:rsid w:val="00420766"/>
    <w:rsid w:val="00421048"/>
    <w:rsid w:val="00425315"/>
    <w:rsid w:val="0042703A"/>
    <w:rsid w:val="0042774C"/>
    <w:rsid w:val="00430A5A"/>
    <w:rsid w:val="00431A6B"/>
    <w:rsid w:val="004378A6"/>
    <w:rsid w:val="004409FF"/>
    <w:rsid w:val="0044160D"/>
    <w:rsid w:val="00442CBB"/>
    <w:rsid w:val="0044390A"/>
    <w:rsid w:val="00446734"/>
    <w:rsid w:val="00447129"/>
    <w:rsid w:val="0045702E"/>
    <w:rsid w:val="00457549"/>
    <w:rsid w:val="0047431E"/>
    <w:rsid w:val="00480182"/>
    <w:rsid w:val="00483391"/>
    <w:rsid w:val="0048394A"/>
    <w:rsid w:val="00486393"/>
    <w:rsid w:val="004926F1"/>
    <w:rsid w:val="00492CDF"/>
    <w:rsid w:val="00496C91"/>
    <w:rsid w:val="00497243"/>
    <w:rsid w:val="004A566D"/>
    <w:rsid w:val="004B1AB8"/>
    <w:rsid w:val="004B2609"/>
    <w:rsid w:val="004B72CD"/>
    <w:rsid w:val="004B7C72"/>
    <w:rsid w:val="004C09BD"/>
    <w:rsid w:val="004C4F48"/>
    <w:rsid w:val="004D2DD9"/>
    <w:rsid w:val="004D7A70"/>
    <w:rsid w:val="004E5764"/>
    <w:rsid w:val="004E6180"/>
    <w:rsid w:val="004F79B0"/>
    <w:rsid w:val="004F7B97"/>
    <w:rsid w:val="00512AB2"/>
    <w:rsid w:val="00513009"/>
    <w:rsid w:val="005218D3"/>
    <w:rsid w:val="005223D5"/>
    <w:rsid w:val="0052380C"/>
    <w:rsid w:val="005253E8"/>
    <w:rsid w:val="00525FE5"/>
    <w:rsid w:val="00526676"/>
    <w:rsid w:val="005269BE"/>
    <w:rsid w:val="00534869"/>
    <w:rsid w:val="00536542"/>
    <w:rsid w:val="00537A6F"/>
    <w:rsid w:val="00537B97"/>
    <w:rsid w:val="005451A6"/>
    <w:rsid w:val="005472F3"/>
    <w:rsid w:val="005473BD"/>
    <w:rsid w:val="00547661"/>
    <w:rsid w:val="005513CE"/>
    <w:rsid w:val="00556A91"/>
    <w:rsid w:val="005639F0"/>
    <w:rsid w:val="005652DD"/>
    <w:rsid w:val="00567CDB"/>
    <w:rsid w:val="00576DFC"/>
    <w:rsid w:val="00577260"/>
    <w:rsid w:val="005973EF"/>
    <w:rsid w:val="005A22AC"/>
    <w:rsid w:val="005A7200"/>
    <w:rsid w:val="005B2890"/>
    <w:rsid w:val="005B463B"/>
    <w:rsid w:val="005C0B0B"/>
    <w:rsid w:val="005C1E5E"/>
    <w:rsid w:val="005C3589"/>
    <w:rsid w:val="005C38C1"/>
    <w:rsid w:val="005C51B4"/>
    <w:rsid w:val="005C7241"/>
    <w:rsid w:val="005D3FA7"/>
    <w:rsid w:val="005D4DA8"/>
    <w:rsid w:val="005D7E9C"/>
    <w:rsid w:val="005E3211"/>
    <w:rsid w:val="005E4D52"/>
    <w:rsid w:val="005F3193"/>
    <w:rsid w:val="00600EF8"/>
    <w:rsid w:val="006019A1"/>
    <w:rsid w:val="006021A1"/>
    <w:rsid w:val="006047A6"/>
    <w:rsid w:val="00620449"/>
    <w:rsid w:val="00621D38"/>
    <w:rsid w:val="0062256E"/>
    <w:rsid w:val="006260B2"/>
    <w:rsid w:val="00634437"/>
    <w:rsid w:val="006345F8"/>
    <w:rsid w:val="006406AC"/>
    <w:rsid w:val="006419E0"/>
    <w:rsid w:val="00645A81"/>
    <w:rsid w:val="00646168"/>
    <w:rsid w:val="00647E1A"/>
    <w:rsid w:val="00651C0F"/>
    <w:rsid w:val="0065578A"/>
    <w:rsid w:val="00664EFD"/>
    <w:rsid w:val="00671BCF"/>
    <w:rsid w:val="006818E2"/>
    <w:rsid w:val="00687CF0"/>
    <w:rsid w:val="006950A5"/>
    <w:rsid w:val="006A2F33"/>
    <w:rsid w:val="006A4853"/>
    <w:rsid w:val="006A6184"/>
    <w:rsid w:val="006B44EE"/>
    <w:rsid w:val="006B530F"/>
    <w:rsid w:val="006C5813"/>
    <w:rsid w:val="006D0004"/>
    <w:rsid w:val="006D1B10"/>
    <w:rsid w:val="006D48D2"/>
    <w:rsid w:val="006D6699"/>
    <w:rsid w:val="006D6AA0"/>
    <w:rsid w:val="006E2781"/>
    <w:rsid w:val="006E6FF4"/>
    <w:rsid w:val="006F2E2E"/>
    <w:rsid w:val="006F78E7"/>
    <w:rsid w:val="007117A3"/>
    <w:rsid w:val="0071742D"/>
    <w:rsid w:val="00717D1B"/>
    <w:rsid w:val="007223B2"/>
    <w:rsid w:val="00723597"/>
    <w:rsid w:val="007255A2"/>
    <w:rsid w:val="00733736"/>
    <w:rsid w:val="00733A26"/>
    <w:rsid w:val="0073421B"/>
    <w:rsid w:val="00747971"/>
    <w:rsid w:val="007541F6"/>
    <w:rsid w:val="0075567A"/>
    <w:rsid w:val="00764212"/>
    <w:rsid w:val="00766A51"/>
    <w:rsid w:val="007679F7"/>
    <w:rsid w:val="007704C4"/>
    <w:rsid w:val="007763F8"/>
    <w:rsid w:val="00784E65"/>
    <w:rsid w:val="00790ECB"/>
    <w:rsid w:val="00791BFB"/>
    <w:rsid w:val="00792218"/>
    <w:rsid w:val="007929F3"/>
    <w:rsid w:val="00795E2E"/>
    <w:rsid w:val="007967F3"/>
    <w:rsid w:val="007A7294"/>
    <w:rsid w:val="007B1067"/>
    <w:rsid w:val="007B2C67"/>
    <w:rsid w:val="007B395F"/>
    <w:rsid w:val="007B3C0C"/>
    <w:rsid w:val="007B5A84"/>
    <w:rsid w:val="007C43B8"/>
    <w:rsid w:val="007C53AF"/>
    <w:rsid w:val="007C5B7B"/>
    <w:rsid w:val="007D0245"/>
    <w:rsid w:val="007D0CBD"/>
    <w:rsid w:val="007E5464"/>
    <w:rsid w:val="007F0601"/>
    <w:rsid w:val="007F1339"/>
    <w:rsid w:val="0080751D"/>
    <w:rsid w:val="00810FFC"/>
    <w:rsid w:val="0081134A"/>
    <w:rsid w:val="00811725"/>
    <w:rsid w:val="008216CD"/>
    <w:rsid w:val="0082357D"/>
    <w:rsid w:val="00825CCF"/>
    <w:rsid w:val="00833B4E"/>
    <w:rsid w:val="00833C17"/>
    <w:rsid w:val="00835EC4"/>
    <w:rsid w:val="0084098C"/>
    <w:rsid w:val="008507D4"/>
    <w:rsid w:val="00852031"/>
    <w:rsid w:val="0085256D"/>
    <w:rsid w:val="008566C0"/>
    <w:rsid w:val="008578A9"/>
    <w:rsid w:val="008638AF"/>
    <w:rsid w:val="008655EF"/>
    <w:rsid w:val="00870891"/>
    <w:rsid w:val="0087499D"/>
    <w:rsid w:val="00876519"/>
    <w:rsid w:val="008765F1"/>
    <w:rsid w:val="00886A13"/>
    <w:rsid w:val="008900C0"/>
    <w:rsid w:val="00891123"/>
    <w:rsid w:val="00891696"/>
    <w:rsid w:val="00891BA6"/>
    <w:rsid w:val="00896110"/>
    <w:rsid w:val="00896A4A"/>
    <w:rsid w:val="008972CC"/>
    <w:rsid w:val="008A57F3"/>
    <w:rsid w:val="008B0273"/>
    <w:rsid w:val="008B0613"/>
    <w:rsid w:val="008B1DBA"/>
    <w:rsid w:val="008B6272"/>
    <w:rsid w:val="008B7744"/>
    <w:rsid w:val="008B7DDD"/>
    <w:rsid w:val="008C2B0D"/>
    <w:rsid w:val="008C3F17"/>
    <w:rsid w:val="008C6499"/>
    <w:rsid w:val="008D2BD3"/>
    <w:rsid w:val="008D5AC4"/>
    <w:rsid w:val="008E668A"/>
    <w:rsid w:val="008E6A50"/>
    <w:rsid w:val="008E7A99"/>
    <w:rsid w:val="008F225C"/>
    <w:rsid w:val="008F44A0"/>
    <w:rsid w:val="00902B40"/>
    <w:rsid w:val="00907A37"/>
    <w:rsid w:val="00911461"/>
    <w:rsid w:val="00923901"/>
    <w:rsid w:val="00926B56"/>
    <w:rsid w:val="00927CCE"/>
    <w:rsid w:val="00935AC5"/>
    <w:rsid w:val="00935BFB"/>
    <w:rsid w:val="00946570"/>
    <w:rsid w:val="00950698"/>
    <w:rsid w:val="009519EC"/>
    <w:rsid w:val="00954076"/>
    <w:rsid w:val="00963687"/>
    <w:rsid w:val="0096579A"/>
    <w:rsid w:val="009678C0"/>
    <w:rsid w:val="00973972"/>
    <w:rsid w:val="00977356"/>
    <w:rsid w:val="00977A53"/>
    <w:rsid w:val="0098637C"/>
    <w:rsid w:val="0099055A"/>
    <w:rsid w:val="00993B28"/>
    <w:rsid w:val="00996886"/>
    <w:rsid w:val="00997AA7"/>
    <w:rsid w:val="009A0115"/>
    <w:rsid w:val="009A4208"/>
    <w:rsid w:val="009A4CF0"/>
    <w:rsid w:val="009A76F9"/>
    <w:rsid w:val="009B2B39"/>
    <w:rsid w:val="009B6BBA"/>
    <w:rsid w:val="009B7B07"/>
    <w:rsid w:val="009C016E"/>
    <w:rsid w:val="009C2535"/>
    <w:rsid w:val="009C6AE5"/>
    <w:rsid w:val="009D1CE7"/>
    <w:rsid w:val="009D63AF"/>
    <w:rsid w:val="009E2686"/>
    <w:rsid w:val="009E6125"/>
    <w:rsid w:val="00A007ED"/>
    <w:rsid w:val="00A02FE1"/>
    <w:rsid w:val="00A227AB"/>
    <w:rsid w:val="00A26C5C"/>
    <w:rsid w:val="00A33D29"/>
    <w:rsid w:val="00A413C0"/>
    <w:rsid w:val="00A43350"/>
    <w:rsid w:val="00A43F43"/>
    <w:rsid w:val="00A45551"/>
    <w:rsid w:val="00A46D1E"/>
    <w:rsid w:val="00A478C3"/>
    <w:rsid w:val="00A50906"/>
    <w:rsid w:val="00A62016"/>
    <w:rsid w:val="00A63A95"/>
    <w:rsid w:val="00A70B91"/>
    <w:rsid w:val="00A80A4E"/>
    <w:rsid w:val="00A86990"/>
    <w:rsid w:val="00A875E3"/>
    <w:rsid w:val="00A962B6"/>
    <w:rsid w:val="00AA1DFC"/>
    <w:rsid w:val="00AA6C4A"/>
    <w:rsid w:val="00AD0252"/>
    <w:rsid w:val="00AD6369"/>
    <w:rsid w:val="00AE192B"/>
    <w:rsid w:val="00AE2034"/>
    <w:rsid w:val="00AE3A8E"/>
    <w:rsid w:val="00AF03BF"/>
    <w:rsid w:val="00B0080B"/>
    <w:rsid w:val="00B07373"/>
    <w:rsid w:val="00B13D7C"/>
    <w:rsid w:val="00B15592"/>
    <w:rsid w:val="00B16250"/>
    <w:rsid w:val="00B16619"/>
    <w:rsid w:val="00B208E9"/>
    <w:rsid w:val="00B20C8F"/>
    <w:rsid w:val="00B2213D"/>
    <w:rsid w:val="00B35C98"/>
    <w:rsid w:val="00B41042"/>
    <w:rsid w:val="00B46B44"/>
    <w:rsid w:val="00B47B4D"/>
    <w:rsid w:val="00B55080"/>
    <w:rsid w:val="00B55590"/>
    <w:rsid w:val="00B61553"/>
    <w:rsid w:val="00B61792"/>
    <w:rsid w:val="00B654A0"/>
    <w:rsid w:val="00B65862"/>
    <w:rsid w:val="00B71476"/>
    <w:rsid w:val="00B812E2"/>
    <w:rsid w:val="00B86CD8"/>
    <w:rsid w:val="00B91333"/>
    <w:rsid w:val="00B93986"/>
    <w:rsid w:val="00B95055"/>
    <w:rsid w:val="00B96917"/>
    <w:rsid w:val="00BA5D1C"/>
    <w:rsid w:val="00BB0DEB"/>
    <w:rsid w:val="00BB10AA"/>
    <w:rsid w:val="00BB265E"/>
    <w:rsid w:val="00BB2B1C"/>
    <w:rsid w:val="00BB4F31"/>
    <w:rsid w:val="00BB6AFC"/>
    <w:rsid w:val="00BB7DE0"/>
    <w:rsid w:val="00BC07FD"/>
    <w:rsid w:val="00BC0AAD"/>
    <w:rsid w:val="00BC2E0C"/>
    <w:rsid w:val="00BC3031"/>
    <w:rsid w:val="00BC768F"/>
    <w:rsid w:val="00BC784C"/>
    <w:rsid w:val="00BD47EE"/>
    <w:rsid w:val="00BD4F65"/>
    <w:rsid w:val="00BE400C"/>
    <w:rsid w:val="00BE65FD"/>
    <w:rsid w:val="00BF1284"/>
    <w:rsid w:val="00BF4D55"/>
    <w:rsid w:val="00BF6DE3"/>
    <w:rsid w:val="00C046B1"/>
    <w:rsid w:val="00C10D84"/>
    <w:rsid w:val="00C12004"/>
    <w:rsid w:val="00C1249C"/>
    <w:rsid w:val="00C14A7D"/>
    <w:rsid w:val="00C20B33"/>
    <w:rsid w:val="00C21F04"/>
    <w:rsid w:val="00C221A3"/>
    <w:rsid w:val="00C3273C"/>
    <w:rsid w:val="00C3312D"/>
    <w:rsid w:val="00C41B29"/>
    <w:rsid w:val="00C47ADF"/>
    <w:rsid w:val="00C5402A"/>
    <w:rsid w:val="00C565D7"/>
    <w:rsid w:val="00C60515"/>
    <w:rsid w:val="00C67B63"/>
    <w:rsid w:val="00C74DD9"/>
    <w:rsid w:val="00C76DB1"/>
    <w:rsid w:val="00C77B01"/>
    <w:rsid w:val="00C8095F"/>
    <w:rsid w:val="00C830DB"/>
    <w:rsid w:val="00C84AEA"/>
    <w:rsid w:val="00C85246"/>
    <w:rsid w:val="00C862CF"/>
    <w:rsid w:val="00C926F1"/>
    <w:rsid w:val="00C93DCE"/>
    <w:rsid w:val="00C96A4D"/>
    <w:rsid w:val="00CA4A57"/>
    <w:rsid w:val="00CA7C90"/>
    <w:rsid w:val="00CB11C9"/>
    <w:rsid w:val="00CB28DD"/>
    <w:rsid w:val="00CB77D0"/>
    <w:rsid w:val="00CC1EED"/>
    <w:rsid w:val="00CC5F6D"/>
    <w:rsid w:val="00CD1E81"/>
    <w:rsid w:val="00CD7299"/>
    <w:rsid w:val="00CE1D66"/>
    <w:rsid w:val="00CE2B57"/>
    <w:rsid w:val="00CE439B"/>
    <w:rsid w:val="00CE5483"/>
    <w:rsid w:val="00CE791B"/>
    <w:rsid w:val="00CF25DD"/>
    <w:rsid w:val="00CF35EF"/>
    <w:rsid w:val="00CF3E38"/>
    <w:rsid w:val="00CF764A"/>
    <w:rsid w:val="00D06B20"/>
    <w:rsid w:val="00D06C27"/>
    <w:rsid w:val="00D165A5"/>
    <w:rsid w:val="00D17159"/>
    <w:rsid w:val="00D236FD"/>
    <w:rsid w:val="00D25F2F"/>
    <w:rsid w:val="00D26992"/>
    <w:rsid w:val="00D3634A"/>
    <w:rsid w:val="00D36769"/>
    <w:rsid w:val="00D36CE1"/>
    <w:rsid w:val="00D37CFC"/>
    <w:rsid w:val="00D46046"/>
    <w:rsid w:val="00D46BF2"/>
    <w:rsid w:val="00D5657B"/>
    <w:rsid w:val="00D6327F"/>
    <w:rsid w:val="00D63751"/>
    <w:rsid w:val="00D707FA"/>
    <w:rsid w:val="00D74040"/>
    <w:rsid w:val="00D82C29"/>
    <w:rsid w:val="00D84F04"/>
    <w:rsid w:val="00D904BF"/>
    <w:rsid w:val="00D956B6"/>
    <w:rsid w:val="00D95833"/>
    <w:rsid w:val="00DA4759"/>
    <w:rsid w:val="00DB0051"/>
    <w:rsid w:val="00DC378E"/>
    <w:rsid w:val="00DC4252"/>
    <w:rsid w:val="00DC71B9"/>
    <w:rsid w:val="00DD3792"/>
    <w:rsid w:val="00DD4D1C"/>
    <w:rsid w:val="00DE0EDE"/>
    <w:rsid w:val="00DE3687"/>
    <w:rsid w:val="00DE4048"/>
    <w:rsid w:val="00E00716"/>
    <w:rsid w:val="00E02ADE"/>
    <w:rsid w:val="00E13023"/>
    <w:rsid w:val="00E13130"/>
    <w:rsid w:val="00E17455"/>
    <w:rsid w:val="00E27825"/>
    <w:rsid w:val="00E37160"/>
    <w:rsid w:val="00E457ED"/>
    <w:rsid w:val="00E50BD4"/>
    <w:rsid w:val="00E520E8"/>
    <w:rsid w:val="00E550A8"/>
    <w:rsid w:val="00E6025D"/>
    <w:rsid w:val="00E658BB"/>
    <w:rsid w:val="00E66A0E"/>
    <w:rsid w:val="00E7125B"/>
    <w:rsid w:val="00E73AB5"/>
    <w:rsid w:val="00E8593F"/>
    <w:rsid w:val="00E931BC"/>
    <w:rsid w:val="00E96E7E"/>
    <w:rsid w:val="00E97B35"/>
    <w:rsid w:val="00EA27C3"/>
    <w:rsid w:val="00EA5975"/>
    <w:rsid w:val="00EB0FEF"/>
    <w:rsid w:val="00EB3FF9"/>
    <w:rsid w:val="00EB456E"/>
    <w:rsid w:val="00EB4B13"/>
    <w:rsid w:val="00EB4E4B"/>
    <w:rsid w:val="00EB593B"/>
    <w:rsid w:val="00EE039C"/>
    <w:rsid w:val="00EE09BB"/>
    <w:rsid w:val="00EE0BAC"/>
    <w:rsid w:val="00EE24B1"/>
    <w:rsid w:val="00EE6C9F"/>
    <w:rsid w:val="00EF1133"/>
    <w:rsid w:val="00EF4510"/>
    <w:rsid w:val="00F0290D"/>
    <w:rsid w:val="00F02CA6"/>
    <w:rsid w:val="00F0529B"/>
    <w:rsid w:val="00F072E7"/>
    <w:rsid w:val="00F15F61"/>
    <w:rsid w:val="00F16D81"/>
    <w:rsid w:val="00F16DF3"/>
    <w:rsid w:val="00F205EE"/>
    <w:rsid w:val="00F23F86"/>
    <w:rsid w:val="00F27F1B"/>
    <w:rsid w:val="00F3026B"/>
    <w:rsid w:val="00F30ACD"/>
    <w:rsid w:val="00F31C5C"/>
    <w:rsid w:val="00F33C45"/>
    <w:rsid w:val="00F4274F"/>
    <w:rsid w:val="00F444FF"/>
    <w:rsid w:val="00F45913"/>
    <w:rsid w:val="00F46690"/>
    <w:rsid w:val="00F5003A"/>
    <w:rsid w:val="00F51820"/>
    <w:rsid w:val="00F54825"/>
    <w:rsid w:val="00F57659"/>
    <w:rsid w:val="00F6022A"/>
    <w:rsid w:val="00F63A57"/>
    <w:rsid w:val="00F6489E"/>
    <w:rsid w:val="00F66B1D"/>
    <w:rsid w:val="00F70AFA"/>
    <w:rsid w:val="00F71639"/>
    <w:rsid w:val="00F7218E"/>
    <w:rsid w:val="00F8171E"/>
    <w:rsid w:val="00F82F6B"/>
    <w:rsid w:val="00F853C2"/>
    <w:rsid w:val="00F85B5F"/>
    <w:rsid w:val="00F9698D"/>
    <w:rsid w:val="00FA064D"/>
    <w:rsid w:val="00FA266D"/>
    <w:rsid w:val="00FB34B0"/>
    <w:rsid w:val="00FB7370"/>
    <w:rsid w:val="00FB7B4E"/>
    <w:rsid w:val="00FC0F83"/>
    <w:rsid w:val="00FC3533"/>
    <w:rsid w:val="00FC461C"/>
    <w:rsid w:val="00FC74E0"/>
    <w:rsid w:val="00FD0181"/>
    <w:rsid w:val="00FD1E97"/>
    <w:rsid w:val="00FD286B"/>
    <w:rsid w:val="00FD4D55"/>
    <w:rsid w:val="00FD6F13"/>
    <w:rsid w:val="00FD7B07"/>
    <w:rsid w:val="00FE35B6"/>
    <w:rsid w:val="00FE7C35"/>
    <w:rsid w:val="00FF0D3A"/>
    <w:rsid w:val="00FF3127"/>
    <w:rsid w:val="00FF4195"/>
    <w:rsid w:val="00FF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A7"/>
  </w:style>
  <w:style w:type="paragraph" w:styleId="1">
    <w:name w:val="heading 1"/>
    <w:basedOn w:val="a"/>
    <w:link w:val="10"/>
    <w:uiPriority w:val="9"/>
    <w:qFormat/>
    <w:rsid w:val="00897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97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2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2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72C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7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72CC"/>
    <w:rPr>
      <w:b/>
      <w:bCs/>
    </w:rPr>
  </w:style>
  <w:style w:type="paragraph" w:styleId="a5">
    <w:name w:val="Balloon Text"/>
    <w:basedOn w:val="a"/>
    <w:link w:val="a6"/>
    <w:uiPriority w:val="99"/>
    <w:semiHidden/>
    <w:unhideWhenUsed/>
    <w:rsid w:val="008972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2CC"/>
    <w:rPr>
      <w:rFonts w:ascii="Tahoma" w:hAnsi="Tahoma" w:cs="Tahoma"/>
      <w:sz w:val="16"/>
      <w:szCs w:val="16"/>
    </w:rPr>
  </w:style>
  <w:style w:type="character" w:customStyle="1" w:styleId="20">
    <w:name w:val="Заголовок 2 Знак"/>
    <w:basedOn w:val="a0"/>
    <w:link w:val="2"/>
    <w:uiPriority w:val="9"/>
    <w:rsid w:val="008972C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1635</Words>
  <Characters>9324</Characters>
  <Application>Microsoft Office Word</Application>
  <DocSecurity>0</DocSecurity>
  <Lines>77</Lines>
  <Paragraphs>21</Paragraphs>
  <ScaleCrop>false</ScaleCrop>
  <Company>Microsoft</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gorshkova_ui</dc:creator>
  <cp:keywords/>
  <dc:description/>
  <cp:lastModifiedBy>gorshkova_ui</cp:lastModifiedBy>
  <cp:revision>3</cp:revision>
  <dcterms:created xsi:type="dcterms:W3CDTF">2014-01-27T08:25:00Z</dcterms:created>
  <dcterms:modified xsi:type="dcterms:W3CDTF">2014-05-27T02:35:00Z</dcterms:modified>
</cp:coreProperties>
</file>