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lang w:eastAsia="ru-RU"/>
        </w:rPr>
        <w:t> </w:t>
      </w:r>
      <w:r w:rsidRPr="002E1346"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>
            <wp:extent cx="946150" cy="946150"/>
            <wp:effectExtent l="19050" t="0" r="6350" b="0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РЕГИОНАЛЬНАЯ ЭНЕРГЕТИЧЕСКАЯ КОМИССИЯ</w:t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КЕМЕРОВСКОЙ ОБЛАСТИ</w:t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kern w:val="36"/>
          <w:sz w:val="20"/>
          <w:szCs w:val="20"/>
          <w:lang w:eastAsia="ru-RU"/>
        </w:rPr>
        <w:t> </w:t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346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ПОСТАНОВЛЕНИЕ </w:t>
      </w:r>
    </w:p>
    <w:p w:rsidR="00710F51" w:rsidRPr="002E1346" w:rsidRDefault="00710F51" w:rsidP="00710F5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710F51" w:rsidRPr="002E1346" w:rsidRDefault="00710F51" w:rsidP="00710F51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2"/>
        <w:gridCol w:w="2453"/>
      </w:tblGrid>
      <w:tr w:rsidR="00710F51" w:rsidRPr="002E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F51" w:rsidRPr="002E1346" w:rsidRDefault="00710F51" w:rsidP="00710F51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2E1346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23 ноября 2010г.</w:t>
            </w:r>
          </w:p>
        </w:tc>
        <w:tc>
          <w:tcPr>
            <w:tcW w:w="0" w:type="auto"/>
            <w:vAlign w:val="center"/>
            <w:hideMark/>
          </w:tcPr>
          <w:p w:rsidR="00710F51" w:rsidRPr="002E1346" w:rsidRDefault="00710F51" w:rsidP="00710F5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2E1346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№220</w:t>
            </w:r>
          </w:p>
        </w:tc>
      </w:tr>
    </w:tbl>
    <w:p w:rsidR="00710F51" w:rsidRPr="002E1346" w:rsidRDefault="00710F51" w:rsidP="00710F51">
      <w:pPr>
        <w:spacing w:after="24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2E1346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Об утверждении тарифов на электрическую энергию для населения и потребителей, приравненных к категории население на территории Кемеровской области с 01 января 2011 года </w:t>
      </w:r>
    </w:p>
    <w:p w:rsidR="00710F51" w:rsidRPr="002E1346" w:rsidRDefault="00710F51" w:rsidP="00710F51">
      <w:pPr>
        <w:spacing w:after="240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Руководствуясь Федеральным законом от 26.03.2003 № 35-ФЗ «Об электроэнергетике», Основами ценообразования в отношении электрической и тепловой энергии в Российской Федерации, утвержденными постановлением Правительства РФ от 26.02.2004 №109,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№20-э/2, Регламентом рассмотрения дел об установлении тарифов и (или</w:t>
      </w:r>
      <w:proofErr w:type="gram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) </w:t>
      </w:r>
      <w:proofErr w:type="gram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(мощности), утвержденным приказом ФСТ России от 08.04.2005 №130-э, Предельными </w:t>
      </w:r>
      <w:proofErr w:type="spell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ми-нимальными</w:t>
      </w:r>
      <w:proofErr w:type="spell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максимальными уровнями тарифов на электрическую </w:t>
      </w:r>
      <w:proofErr w:type="spell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энер-гию</w:t>
      </w:r>
      <w:proofErr w:type="spell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, поставляемую населению и приравненным к нему категориям потребителей, по субъекту Российской Федерации на 2011 год, утвержденными приказом ФСТ России от 07.10.2010 № 245-э/3</w:t>
      </w:r>
      <w:proofErr w:type="gram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, Региональная энергетическая комиссия Кемеровской области 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>постановляет: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1. Установить тарифы на электрическую энергию для населения и </w:t>
      </w:r>
      <w:proofErr w:type="spell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по-требителей</w:t>
      </w:r>
      <w:proofErr w:type="spell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proofErr w:type="gram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приравненных</w:t>
      </w:r>
      <w:proofErr w:type="gram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 категории население на территории </w:t>
      </w:r>
      <w:proofErr w:type="spell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Кемеров-ской</w:t>
      </w:r>
      <w:proofErr w:type="spell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области, согласно приложению.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>2. Тарифы, установленные в п. 1 настоящего постановления, действуют с 01.01.2011.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>3. Признать утратившим силу с 01.01.2011 постановление Региональной энергетической комиссии Кемеровской области от 23.12.2009 года № 200 (ред. от 12.03.2010 №40) «Об утверждении тарифов на электрическую энергию для населения на территории Кемеровской области с 01 января 2010 года».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4. Настоящее постановление вступает в силу через десять дней после его официального опубликования. </w:t>
      </w:r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5. Настоящее постановление опубликовать на сайте «Электронный бюллетень Коллегии Администрации Кемеровской области», в сборнике «Информационный бюллетень региональной энергетической комиссии </w:t>
      </w:r>
      <w:proofErr w:type="spellStart"/>
      <w:proofErr w:type="gram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Ке-меровской</w:t>
      </w:r>
      <w:proofErr w:type="spellEnd"/>
      <w:proofErr w:type="gram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области», в областной массовой газете «Кузбасс», а также на официальном сайте РЭК </w:t>
      </w:r>
      <w:proofErr w:type="spellStart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>www.recko.ru</w:t>
      </w:r>
      <w:proofErr w:type="spellEnd"/>
      <w:r w:rsidRPr="002E1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96"/>
        <w:gridCol w:w="4159"/>
      </w:tblGrid>
      <w:tr w:rsidR="00710F51" w:rsidRPr="002E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F51" w:rsidRPr="002E1346" w:rsidRDefault="00710F51" w:rsidP="00710F5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2E1346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t>Председатель</w:t>
            </w:r>
            <w:r w:rsidRPr="002E1346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Региональной энергетической комиссии</w:t>
            </w:r>
            <w:r w:rsidRPr="002E1346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710F51" w:rsidRPr="002E1346" w:rsidRDefault="00710F51" w:rsidP="00710F51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2E1346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  <w:r w:rsidRPr="002E1346">
              <w:rPr>
                <w:rFonts w:ascii="Helvetica" w:eastAsia="Times New Roman" w:hAnsi="Helvetica" w:cs="Helvetic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1880" cy="662305"/>
                  <wp:effectExtent l="19050" t="0" r="0" b="0"/>
                  <wp:docPr id="2" name="Рисунок 2" descr="http://www.recko.ru/userfiles/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346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А. Р. </w:t>
            </w:r>
            <w:proofErr w:type="spellStart"/>
            <w:r w:rsidRPr="002E1346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Крумгольц</w:t>
            </w:r>
            <w:proofErr w:type="spellEnd"/>
          </w:p>
        </w:tc>
      </w:tr>
    </w:tbl>
    <w:p w:rsidR="00710F51" w:rsidRPr="002E1346" w:rsidRDefault="00710F51">
      <w:pPr>
        <w:rPr>
          <w:sz w:val="20"/>
          <w:szCs w:val="20"/>
        </w:rPr>
      </w:pPr>
    </w:p>
    <w:tbl>
      <w:tblPr>
        <w:tblW w:w="11072" w:type="dxa"/>
        <w:tblInd w:w="-1285" w:type="dxa"/>
        <w:tblLook w:val="0000"/>
      </w:tblPr>
      <w:tblGrid>
        <w:gridCol w:w="854"/>
        <w:gridCol w:w="286"/>
        <w:gridCol w:w="4628"/>
        <w:gridCol w:w="1535"/>
        <w:gridCol w:w="1023"/>
        <w:gridCol w:w="917"/>
        <w:gridCol w:w="885"/>
        <w:gridCol w:w="944"/>
      </w:tblGrid>
      <w:tr w:rsidR="00710F51" w:rsidRPr="002E1346" w:rsidTr="00710F51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bookmarkStart w:id="0" w:name="RANGE!A1:M37"/>
            <w:bookmarkEnd w:id="0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right"/>
            </w:pPr>
            <w:r w:rsidRPr="002E1346">
              <w:t>Приложение</w:t>
            </w:r>
          </w:p>
        </w:tc>
      </w:tr>
      <w:tr w:rsidR="00710F51" w:rsidRPr="002E1346" w:rsidTr="00710F51">
        <w:trPr>
          <w:trHeight w:val="43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0F51" w:rsidRPr="002E1346" w:rsidRDefault="00710F51" w:rsidP="00996C06">
            <w:pPr>
              <w:jc w:val="right"/>
            </w:pPr>
            <w:r w:rsidRPr="002E1346">
              <w:t>к постановлению Региональной энергетической</w:t>
            </w:r>
            <w:r w:rsidRPr="002E1346">
              <w:br/>
              <w:t>комиссии Кемеровской области</w:t>
            </w:r>
          </w:p>
        </w:tc>
      </w:tr>
      <w:tr w:rsidR="00710F51" w:rsidRPr="002E1346" w:rsidTr="00710F51">
        <w:trPr>
          <w:trHeight w:val="27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/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0F51" w:rsidRPr="002E1346" w:rsidRDefault="00710F51" w:rsidP="00996C06">
            <w:pPr>
              <w:jc w:val="right"/>
            </w:pPr>
            <w:r w:rsidRPr="002E1346">
              <w:t>от 23 ноября 2010 № 220</w:t>
            </w:r>
          </w:p>
        </w:tc>
      </w:tr>
      <w:tr w:rsidR="00710F51" w:rsidRPr="002E1346" w:rsidTr="00710F51">
        <w:trPr>
          <w:trHeight w:val="870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Тарифы на электрическую энергию для населения и потребителей, приравненных к категории население на территории Кемеровской области</w:t>
            </w:r>
          </w:p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</w:p>
        </w:tc>
      </w:tr>
      <w:tr w:rsidR="00710F51" w:rsidRPr="002E1346" w:rsidTr="00710F51">
        <w:trPr>
          <w:trHeight w:val="34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№</w:t>
            </w:r>
            <w:r w:rsidRPr="002E1346">
              <w:br/>
            </w:r>
            <w:proofErr w:type="spellStart"/>
            <w:proofErr w:type="gramStart"/>
            <w:r w:rsidRPr="002E1346">
              <w:t>п</w:t>
            </w:r>
            <w:proofErr w:type="spellEnd"/>
            <w:proofErr w:type="gramEnd"/>
            <w:r w:rsidRPr="002E1346">
              <w:t>/</w:t>
            </w:r>
            <w:proofErr w:type="spellStart"/>
            <w:r w:rsidRPr="002E1346">
              <w:t>п</w:t>
            </w:r>
            <w:proofErr w:type="spellEnd"/>
          </w:p>
        </w:tc>
        <w:tc>
          <w:tcPr>
            <w:tcW w:w="4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Показатель (группы потребителей</w:t>
            </w:r>
            <w:r w:rsidRPr="002E1346">
              <w:br/>
              <w:t>с разбивкой тарифа по ставкам</w:t>
            </w:r>
            <w:r w:rsidRPr="002E1346">
              <w:br/>
              <w:t>и дифференциацией по зонам суток)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Единица измерения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Диапазоны напряжения</w:t>
            </w:r>
          </w:p>
        </w:tc>
      </w:tr>
      <w:tr w:rsidR="00710F51" w:rsidRPr="002E1346" w:rsidTr="00710F51">
        <w:trPr>
          <w:trHeight w:val="81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ВН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CH-I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CH-II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HH</w:t>
            </w:r>
          </w:p>
        </w:tc>
      </w:tr>
      <w:tr w:rsidR="00710F51" w:rsidRPr="002E1346" w:rsidTr="00710F51">
        <w:trPr>
          <w:trHeight w:val="43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F51" w:rsidRPr="002E1346" w:rsidRDefault="00710F51" w:rsidP="00996C06">
            <w:pPr>
              <w:jc w:val="center"/>
            </w:pPr>
            <w:r w:rsidRPr="002E1346">
              <w:t>7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1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>Население (тарифы указываются с учетом НДС)</w:t>
            </w:r>
          </w:p>
        </w:tc>
      </w:tr>
      <w:tr w:rsidR="00710F51" w:rsidRPr="002E1346" w:rsidTr="00710F51">
        <w:trPr>
          <w:trHeight w:val="78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1.1.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both"/>
              <w:rPr>
                <w:b/>
                <w:bCs/>
                <w:vertAlign w:val="superscript"/>
              </w:rPr>
            </w:pPr>
            <w:r w:rsidRPr="002E1346">
              <w:rPr>
                <w:b/>
                <w:bCs/>
              </w:rPr>
              <w:t>Население, проживающее в городских населенных пунктах в домах, оборудованных в установленном порядке стационарными газовыми плитами</w:t>
            </w:r>
            <w:r w:rsidRPr="002E1346">
              <w:rPr>
                <w:b/>
                <w:bCs/>
                <w:color w:val="FFFFFF"/>
              </w:rPr>
              <w:t>_</w:t>
            </w:r>
            <w:r w:rsidRPr="002E1346">
              <w:rPr>
                <w:b/>
                <w:bCs/>
                <w:vertAlign w:val="superscript"/>
              </w:rPr>
              <w:t>1</w:t>
            </w:r>
          </w:p>
        </w:tc>
      </w:tr>
      <w:tr w:rsidR="00710F51" w:rsidRPr="002E1346" w:rsidTr="00710F51">
        <w:trPr>
          <w:trHeight w:val="48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1.1.1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</w:t>
            </w:r>
            <w:proofErr w:type="spellStart"/>
            <w:r w:rsidRPr="002E1346">
              <w:t>Одноставочный</w:t>
            </w:r>
            <w:proofErr w:type="spellEnd"/>
            <w:r w:rsidRPr="002E1346">
              <w:t xml:space="preserve"> тариф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1.1.2.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Тариф, дифференцированный по зонам суток </w:t>
            </w:r>
            <w:r w:rsidRPr="002E1346">
              <w:rPr>
                <w:b/>
                <w:bCs/>
                <w:vertAlign w:val="superscript"/>
              </w:rPr>
              <w:t>2</w:t>
            </w:r>
          </w:p>
        </w:tc>
      </w:tr>
      <w:tr w:rsidR="00710F51" w:rsidRPr="002E1346" w:rsidTr="00710F51">
        <w:trPr>
          <w:trHeight w:val="365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Дневная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2,18</w:t>
            </w:r>
          </w:p>
        </w:tc>
      </w:tr>
      <w:tr w:rsidR="00710F51" w:rsidRPr="002E1346" w:rsidTr="00710F51">
        <w:trPr>
          <w:trHeight w:val="348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Ночная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1,96</w:t>
            </w:r>
          </w:p>
        </w:tc>
      </w:tr>
      <w:tr w:rsidR="00710F51" w:rsidRPr="002E1346" w:rsidTr="00710F51">
        <w:trPr>
          <w:trHeight w:val="100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1.2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both"/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2E1346">
              <w:rPr>
                <w:b/>
                <w:bCs/>
                <w:vertAlign w:val="superscript"/>
              </w:rPr>
              <w:t>3</w:t>
            </w:r>
          </w:p>
        </w:tc>
      </w:tr>
      <w:tr w:rsidR="00710F51" w:rsidRPr="002E1346" w:rsidTr="00710F51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1.2.1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</w:t>
            </w:r>
            <w:proofErr w:type="spellStart"/>
            <w:r w:rsidRPr="002E1346">
              <w:t>Одноставочный</w:t>
            </w:r>
            <w:proofErr w:type="spellEnd"/>
            <w:r w:rsidRPr="002E1346">
              <w:t xml:space="preserve"> тариф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1.2.2.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Тариф, дифференцированный по зонам суток </w:t>
            </w:r>
          </w:p>
        </w:tc>
      </w:tr>
      <w:tr w:rsidR="00710F51" w:rsidRPr="002E1346" w:rsidTr="00710F51">
        <w:trPr>
          <w:trHeight w:val="48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Дневная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</w:tr>
      <w:tr w:rsidR="00710F51" w:rsidRPr="002E1346" w:rsidTr="00710F51">
        <w:trPr>
          <w:trHeight w:val="48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Ночная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1.3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Население, проживающее в сельских населенных пунктах </w:t>
            </w:r>
            <w:r w:rsidRPr="002E1346">
              <w:rPr>
                <w:b/>
                <w:bCs/>
                <w:vertAlign w:val="superscript"/>
              </w:rPr>
              <w:t>3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1.3.1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</w:t>
            </w:r>
            <w:proofErr w:type="spellStart"/>
            <w:r w:rsidRPr="002E1346">
              <w:t>Одноставочный</w:t>
            </w:r>
            <w:proofErr w:type="spellEnd"/>
            <w:r w:rsidRPr="002E1346">
              <w:t xml:space="preserve"> тариф: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1,53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1.3.2.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Тариф, дифференцированный по зонам суток 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Дневная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1,99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Ночная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1,37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  <w:rPr>
                <w:b/>
                <w:bCs/>
              </w:rPr>
            </w:pPr>
            <w:r w:rsidRPr="002E1346">
              <w:rPr>
                <w:b/>
                <w:bCs/>
              </w:rPr>
              <w:t>2.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Потребители, приравненные к населению (без НДС) </w:t>
            </w:r>
            <w:r w:rsidRPr="002E1346">
              <w:rPr>
                <w:b/>
                <w:bCs/>
                <w:vertAlign w:val="superscript"/>
              </w:rPr>
              <w:t>4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2.1.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</w:t>
            </w:r>
            <w:proofErr w:type="spellStart"/>
            <w:r w:rsidRPr="002E1346">
              <w:t>Одноставочный</w:t>
            </w:r>
            <w:proofErr w:type="spellEnd"/>
            <w:r w:rsidRPr="002E1346">
              <w:t xml:space="preserve"> тариф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</w:tr>
      <w:tr w:rsidR="00710F51" w:rsidRPr="002E1346" w:rsidTr="00710F51">
        <w:trPr>
          <w:trHeight w:val="37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10F51" w:rsidRPr="002E1346" w:rsidRDefault="00710F51" w:rsidP="00996C06">
            <w:pPr>
              <w:jc w:val="center"/>
            </w:pPr>
            <w:r w:rsidRPr="002E1346">
              <w:t>2.2.</w:t>
            </w:r>
          </w:p>
        </w:tc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rPr>
                <w:b/>
                <w:bCs/>
              </w:rPr>
            </w:pPr>
            <w:r w:rsidRPr="002E1346">
              <w:t> </w:t>
            </w:r>
            <w:r w:rsidRPr="002E1346">
              <w:rPr>
                <w:b/>
                <w:bCs/>
              </w:rPr>
              <w:t xml:space="preserve">Тариф, дифференцированный по зонам суток 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Дневная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1,85</w:t>
            </w:r>
          </w:p>
        </w:tc>
      </w:tr>
      <w:tr w:rsidR="00710F51" w:rsidRPr="002E1346" w:rsidTr="00710F51">
        <w:trPr>
          <w:trHeight w:val="420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F51" w:rsidRPr="002E1346" w:rsidRDefault="00710F51" w:rsidP="00996C06"/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r w:rsidRPr="002E1346">
              <w:t> Ночная зона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руб./кВт·</w:t>
            </w:r>
            <w:proofErr w:type="gramStart"/>
            <w:r w:rsidRPr="002E1346">
              <w:t>ч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1,66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0F51" w:rsidRPr="002E1346" w:rsidRDefault="00710F51" w:rsidP="00996C06">
            <w:pPr>
              <w:jc w:val="center"/>
            </w:pPr>
            <w:r w:rsidRPr="002E1346">
              <w:t>1,66</w:t>
            </w:r>
          </w:p>
        </w:tc>
      </w:tr>
    </w:tbl>
    <w:p w:rsidR="00710F51" w:rsidRPr="002E1346" w:rsidRDefault="00710F51" w:rsidP="00710F51">
      <w:pPr>
        <w:ind w:firstLine="720"/>
        <w:jc w:val="both"/>
      </w:pPr>
    </w:p>
    <w:p w:rsidR="00710F51" w:rsidRPr="002E1346" w:rsidRDefault="00710F51" w:rsidP="00710F51">
      <w:pPr>
        <w:ind w:firstLine="720"/>
        <w:jc w:val="both"/>
      </w:pPr>
      <w:r w:rsidRPr="002E1346">
        <w:t>Примечание.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proofErr w:type="gramStart"/>
      <w:r w:rsidRPr="002E1346">
        <w:rPr>
          <w:b/>
          <w:vertAlign w:val="superscript"/>
        </w:rPr>
        <w:t>1</w:t>
      </w:r>
      <w:r w:rsidRPr="002E1346">
        <w:t xml:space="preserve"> Пункт 1.1 применяется в отношении потребителей, использующих электрическую энергию на коммунально-бытовые нужды и в местах общего пользования жилых домов, проживающих в городских населенных пунктах в жилых домах, оборудованных в установленном порядке (в соответствии со статьей 14 Жилищного кодекса Российской Федерации) стационарными газовыми и иными видами плит, за исключением потребителей, проживающих в домах, оборудованных в установленном порядке стационарными электроплитами и</w:t>
      </w:r>
      <w:proofErr w:type="gramEnd"/>
      <w:r w:rsidRPr="002E1346">
        <w:t xml:space="preserve"> (или) электроотопительными установками.</w:t>
      </w:r>
    </w:p>
    <w:p w:rsidR="00710F51" w:rsidRPr="002E1346" w:rsidRDefault="00710F51" w:rsidP="00710F51">
      <w:pPr>
        <w:spacing w:line="216" w:lineRule="auto"/>
        <w:ind w:firstLine="720"/>
        <w:jc w:val="both"/>
      </w:pPr>
      <w:r w:rsidRPr="002E1346">
        <w:rPr>
          <w:b/>
          <w:vertAlign w:val="superscript"/>
        </w:rPr>
        <w:t>2</w:t>
      </w:r>
      <w:r w:rsidRPr="002E1346">
        <w:t xml:space="preserve"> Интервалы тарифных зон суток распределяются следующим образом:</w:t>
      </w:r>
    </w:p>
    <w:p w:rsidR="00710F51" w:rsidRPr="002E1346" w:rsidRDefault="00710F51" w:rsidP="00710F51">
      <w:pPr>
        <w:spacing w:line="216" w:lineRule="auto"/>
        <w:ind w:firstLine="720"/>
        <w:jc w:val="both"/>
      </w:pPr>
      <w:r w:rsidRPr="002E1346">
        <w:t>- дневная зона – с 07-00 до 23-00 часов;</w:t>
      </w:r>
    </w:p>
    <w:p w:rsidR="00710F51" w:rsidRPr="002E1346" w:rsidRDefault="00710F51" w:rsidP="00710F51">
      <w:pPr>
        <w:spacing w:line="216" w:lineRule="auto"/>
        <w:ind w:firstLine="720"/>
        <w:jc w:val="both"/>
      </w:pPr>
      <w:r w:rsidRPr="002E1346">
        <w:t>- ночная зона – с 23-00 до 07-00 часов.</w:t>
      </w:r>
    </w:p>
    <w:p w:rsidR="00710F51" w:rsidRPr="002E1346" w:rsidRDefault="00710F51" w:rsidP="00710F51">
      <w:pPr>
        <w:spacing w:line="216" w:lineRule="auto"/>
        <w:ind w:firstLine="720"/>
        <w:jc w:val="both"/>
      </w:pPr>
      <w:r w:rsidRPr="002E1346">
        <w:rPr>
          <w:b/>
          <w:vertAlign w:val="superscript"/>
        </w:rPr>
        <w:t>3</w:t>
      </w:r>
      <w:proofErr w:type="gramStart"/>
      <w:r w:rsidRPr="002E1346">
        <w:t xml:space="preserve"> В</w:t>
      </w:r>
      <w:proofErr w:type="gramEnd"/>
      <w:r w:rsidRPr="002E1346">
        <w:t xml:space="preserve">о исполнение постановления Правительства РФ от 07.12.1998 №1444 «Об основах ценообразования в отношении электрической энергии, потребляемой населением» в пунктах 1.2 и 1.3 указаны тарифы с учетом применения понижающего коэффициента 0,7 в отношении потребителей, использующих электрическую энергию на коммунально-бытовые нужды и в местах общего пользования жилых домов, проживающих в городских населенных пунктах в жилых домах, оборудованных в установленном порядке (в </w:t>
      </w:r>
      <w:proofErr w:type="gramStart"/>
      <w:r w:rsidRPr="002E1346">
        <w:t>соответствии со статьей 14 Жилищного кодекса Российской Федерации) стационарными электроплитами и (или) электроотопительными установками, за исключением потребителей, проживающих в жилых домах, оборудованных в установленном порядке стационарными газовыми и иными видами плит, а также без исключения в отношении потребителей электрической энергии, проживающих в сельской местности.</w:t>
      </w:r>
      <w:proofErr w:type="gramEnd"/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rPr>
          <w:b/>
          <w:vertAlign w:val="superscript"/>
        </w:rPr>
        <w:t>4</w:t>
      </w:r>
      <w:proofErr w:type="gramStart"/>
      <w:r w:rsidRPr="002E1346">
        <w:t xml:space="preserve"> П</w:t>
      </w:r>
      <w:proofErr w:type="gramEnd"/>
      <w:r w:rsidRPr="002E1346">
        <w:t>рименяется в отношении: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proofErr w:type="gramStart"/>
      <w:r w:rsidRPr="002E1346">
        <w:t xml:space="preserve">- исполнителей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2E1346">
        <w:t>наймодателей</w:t>
      </w:r>
      <w:proofErr w:type="spellEnd"/>
      <w:r w:rsidRPr="002E1346">
        <w:t xml:space="preserve"> (или уполномоченных ими лиц), предоставляющих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2E1346">
        <w:t xml:space="preserve"> для социальной защиты отдельных категорий граждан, приобретающих электроэнергию для коммунально-бытового потребления граждан в объемах фактического потребления потребителей-граждан и объемах электроэнергии, израсходованной на места общего пользования (применяются тарифы, установленные в пунктах 1.1 и 1.2, в зависимости от структуры фактического потребления приобретающих у них электрическую энергию потребителей-граждан);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proofErr w:type="gramStart"/>
      <w:r w:rsidRPr="002E1346">
        <w:t xml:space="preserve">- гарантирующих поставщиков, </w:t>
      </w:r>
      <w:proofErr w:type="spellStart"/>
      <w:r w:rsidRPr="002E1346">
        <w:t>энергосбытовых</w:t>
      </w:r>
      <w:proofErr w:type="spellEnd"/>
      <w:r w:rsidRPr="002E1346">
        <w:t xml:space="preserve">, </w:t>
      </w:r>
      <w:proofErr w:type="spellStart"/>
      <w:r w:rsidRPr="002E1346">
        <w:t>энергоснабжающих</w:t>
      </w:r>
      <w:proofErr w:type="spellEnd"/>
      <w:r w:rsidRPr="002E1346">
        <w:t xml:space="preserve"> организаций, приобретающих электроэнергию в целях дальнейшей продажи потребителям-гражданам и (или) исполнителям коммунальной услуги электроснабжения, </w:t>
      </w:r>
      <w:proofErr w:type="spellStart"/>
      <w:r w:rsidRPr="002E1346">
        <w:t>наймодателям</w:t>
      </w:r>
      <w:proofErr w:type="spellEnd"/>
      <w:r w:rsidRPr="002E1346">
        <w:t xml:space="preserve"> (или уполномоченным </w:t>
      </w:r>
      <w:r w:rsidRPr="002E1346">
        <w:lastRenderedPageBreak/>
        <w:t>ими лицам), в объемах фактического потребления потребителей-граждан и объемах электроэнергии, израсходованной на места общего пользования (применяются тарифы, установленные в пунктах 1.1 и 1.2,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t>- садоводческих, огороднических или дачных некоммерческих объединений граждан - некоммерческих организаций, учрежденных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t>- физических лиц, приобретающих электрическую энергию в целях потребления в помещениях для содержания осужденных, при условии наличия раздельного учета в указанных помещениях (применяются тарифы, установленные в пунктах 1.1 и 1.2, в зависимости от структуры фактического потребления приобретающих у них электрическую энергию потребителей-граждан);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t>- физических лиц, приобретающих электрическую энергию в целях потребления в населенных пунктах, жилых зонах при воинских частях, рассчитывающихся по общему счетчику на вводе (применяются тарифы, установленные в пунктах 1.1 и 1.2, в зависимости от структуры фактического потребления приобретающих у них электрическую энергию потребителей-граждан);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t>- содержащихся за счет прихожан религиозных организаций;</w:t>
      </w:r>
    </w:p>
    <w:p w:rsidR="00710F51" w:rsidRPr="002E1346" w:rsidRDefault="00710F51" w:rsidP="00710F51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</w:pPr>
      <w:r w:rsidRPr="002E1346">
        <w:t>- некоммерческие объединения граждан (гаражно-строительные, гаражные кооперативы), объединенные хозяйственные постройки граждан (погреба, сараи) в соответствии с Постановлением Региональной энергетической комиссии Кемеровской области от 14.11.2008 №136 (в ред. Постановления Региональной энергетической комиссии Кемеровской области от 12.03.2010 №39) «Об отнесении потребителей электрической энергии к потребителям, приравненным к группе «население».</w:t>
      </w:r>
    </w:p>
    <w:p w:rsidR="00710F51" w:rsidRPr="002E1346" w:rsidRDefault="00710F51" w:rsidP="00710F51">
      <w:pPr>
        <w:ind w:firstLine="720"/>
        <w:jc w:val="both"/>
      </w:pPr>
    </w:p>
    <w:p w:rsidR="00710F51" w:rsidRPr="002E1346" w:rsidRDefault="00710F51"/>
    <w:sectPr w:rsidR="00710F51" w:rsidRPr="002E1346" w:rsidSect="0099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0F51"/>
    <w:rsid w:val="00005C5F"/>
    <w:rsid w:val="00006E66"/>
    <w:rsid w:val="00014333"/>
    <w:rsid w:val="00024B0D"/>
    <w:rsid w:val="00027B2E"/>
    <w:rsid w:val="0003140B"/>
    <w:rsid w:val="00033416"/>
    <w:rsid w:val="000358B5"/>
    <w:rsid w:val="0004691A"/>
    <w:rsid w:val="00063C12"/>
    <w:rsid w:val="000640EB"/>
    <w:rsid w:val="00067189"/>
    <w:rsid w:val="000728D1"/>
    <w:rsid w:val="00074AC5"/>
    <w:rsid w:val="0007504B"/>
    <w:rsid w:val="00081E90"/>
    <w:rsid w:val="00087197"/>
    <w:rsid w:val="00087E68"/>
    <w:rsid w:val="000934DF"/>
    <w:rsid w:val="000956DF"/>
    <w:rsid w:val="00095887"/>
    <w:rsid w:val="000A157A"/>
    <w:rsid w:val="000A35D6"/>
    <w:rsid w:val="000B0843"/>
    <w:rsid w:val="000B172E"/>
    <w:rsid w:val="000B1731"/>
    <w:rsid w:val="000B3DFF"/>
    <w:rsid w:val="000D0CD9"/>
    <w:rsid w:val="000D4B7A"/>
    <w:rsid w:val="000D5CC8"/>
    <w:rsid w:val="000D6406"/>
    <w:rsid w:val="000E0F68"/>
    <w:rsid w:val="000E4411"/>
    <w:rsid w:val="000F26D9"/>
    <w:rsid w:val="000F3898"/>
    <w:rsid w:val="000F6F4E"/>
    <w:rsid w:val="00103E28"/>
    <w:rsid w:val="0010466F"/>
    <w:rsid w:val="00104E36"/>
    <w:rsid w:val="00107389"/>
    <w:rsid w:val="00111315"/>
    <w:rsid w:val="001121F0"/>
    <w:rsid w:val="001139A1"/>
    <w:rsid w:val="00114F99"/>
    <w:rsid w:val="00120700"/>
    <w:rsid w:val="00127221"/>
    <w:rsid w:val="00130C26"/>
    <w:rsid w:val="00132220"/>
    <w:rsid w:val="001354F0"/>
    <w:rsid w:val="001404EB"/>
    <w:rsid w:val="00141967"/>
    <w:rsid w:val="00146DBF"/>
    <w:rsid w:val="00170C72"/>
    <w:rsid w:val="001727A5"/>
    <w:rsid w:val="0017722C"/>
    <w:rsid w:val="001857DE"/>
    <w:rsid w:val="00185954"/>
    <w:rsid w:val="00186046"/>
    <w:rsid w:val="00186778"/>
    <w:rsid w:val="001904B0"/>
    <w:rsid w:val="001925D3"/>
    <w:rsid w:val="00197A8C"/>
    <w:rsid w:val="001B30AC"/>
    <w:rsid w:val="001B75A0"/>
    <w:rsid w:val="001C0B2D"/>
    <w:rsid w:val="001C223A"/>
    <w:rsid w:val="001C35F8"/>
    <w:rsid w:val="001D77E2"/>
    <w:rsid w:val="001E3451"/>
    <w:rsid w:val="001E46F0"/>
    <w:rsid w:val="001E652C"/>
    <w:rsid w:val="001F0D49"/>
    <w:rsid w:val="001F7A28"/>
    <w:rsid w:val="0020046D"/>
    <w:rsid w:val="00206E14"/>
    <w:rsid w:val="00211ED7"/>
    <w:rsid w:val="00212EDE"/>
    <w:rsid w:val="00223FDF"/>
    <w:rsid w:val="002274FB"/>
    <w:rsid w:val="0023005A"/>
    <w:rsid w:val="002322DE"/>
    <w:rsid w:val="00235EFE"/>
    <w:rsid w:val="0023625F"/>
    <w:rsid w:val="002373FE"/>
    <w:rsid w:val="00237F20"/>
    <w:rsid w:val="00241B1C"/>
    <w:rsid w:val="0024283C"/>
    <w:rsid w:val="00246193"/>
    <w:rsid w:val="00246B26"/>
    <w:rsid w:val="00250FBA"/>
    <w:rsid w:val="002578AB"/>
    <w:rsid w:val="00265ACF"/>
    <w:rsid w:val="00267FF9"/>
    <w:rsid w:val="00270CC6"/>
    <w:rsid w:val="00271929"/>
    <w:rsid w:val="00271C0B"/>
    <w:rsid w:val="00280781"/>
    <w:rsid w:val="002816EC"/>
    <w:rsid w:val="00294A83"/>
    <w:rsid w:val="00294E81"/>
    <w:rsid w:val="00294F84"/>
    <w:rsid w:val="00295277"/>
    <w:rsid w:val="002965C8"/>
    <w:rsid w:val="002A14AC"/>
    <w:rsid w:val="002A1895"/>
    <w:rsid w:val="002A64C6"/>
    <w:rsid w:val="002B16D9"/>
    <w:rsid w:val="002B1BAE"/>
    <w:rsid w:val="002B20A5"/>
    <w:rsid w:val="002D4FA9"/>
    <w:rsid w:val="002D7071"/>
    <w:rsid w:val="002E1346"/>
    <w:rsid w:val="002E4E19"/>
    <w:rsid w:val="002F034D"/>
    <w:rsid w:val="002F68F1"/>
    <w:rsid w:val="002F7873"/>
    <w:rsid w:val="002F7878"/>
    <w:rsid w:val="003021D5"/>
    <w:rsid w:val="0030282F"/>
    <w:rsid w:val="00304C51"/>
    <w:rsid w:val="00315755"/>
    <w:rsid w:val="00316CAF"/>
    <w:rsid w:val="00326A96"/>
    <w:rsid w:val="00330EAF"/>
    <w:rsid w:val="00346741"/>
    <w:rsid w:val="00347447"/>
    <w:rsid w:val="00352623"/>
    <w:rsid w:val="003538EA"/>
    <w:rsid w:val="003548DE"/>
    <w:rsid w:val="00356FBB"/>
    <w:rsid w:val="0036217A"/>
    <w:rsid w:val="00375727"/>
    <w:rsid w:val="00391218"/>
    <w:rsid w:val="003914ED"/>
    <w:rsid w:val="00391C12"/>
    <w:rsid w:val="0039263D"/>
    <w:rsid w:val="003A06DC"/>
    <w:rsid w:val="003A2ED3"/>
    <w:rsid w:val="003A4C2A"/>
    <w:rsid w:val="003A51FE"/>
    <w:rsid w:val="003A5365"/>
    <w:rsid w:val="003B1690"/>
    <w:rsid w:val="003B3CC1"/>
    <w:rsid w:val="003B3FEE"/>
    <w:rsid w:val="003B6ABC"/>
    <w:rsid w:val="003C0633"/>
    <w:rsid w:val="003C0C95"/>
    <w:rsid w:val="003C47CE"/>
    <w:rsid w:val="003C5C47"/>
    <w:rsid w:val="003D1124"/>
    <w:rsid w:val="003E2722"/>
    <w:rsid w:val="003E6010"/>
    <w:rsid w:val="003E6F87"/>
    <w:rsid w:val="003F13FA"/>
    <w:rsid w:val="003F17CA"/>
    <w:rsid w:val="003F27E6"/>
    <w:rsid w:val="00404D15"/>
    <w:rsid w:val="00414FC5"/>
    <w:rsid w:val="0041591E"/>
    <w:rsid w:val="00420766"/>
    <w:rsid w:val="00421048"/>
    <w:rsid w:val="00425315"/>
    <w:rsid w:val="0042703A"/>
    <w:rsid w:val="0042774C"/>
    <w:rsid w:val="00430A5A"/>
    <w:rsid w:val="00431A6B"/>
    <w:rsid w:val="004378A6"/>
    <w:rsid w:val="004409FF"/>
    <w:rsid w:val="0044160D"/>
    <w:rsid w:val="00442CBB"/>
    <w:rsid w:val="0044390A"/>
    <w:rsid w:val="00446734"/>
    <w:rsid w:val="00447129"/>
    <w:rsid w:val="0045702E"/>
    <w:rsid w:val="00457549"/>
    <w:rsid w:val="0047431E"/>
    <w:rsid w:val="00480182"/>
    <w:rsid w:val="00483391"/>
    <w:rsid w:val="0048394A"/>
    <w:rsid w:val="00486393"/>
    <w:rsid w:val="004926F1"/>
    <w:rsid w:val="00492CDF"/>
    <w:rsid w:val="00496C91"/>
    <w:rsid w:val="00497243"/>
    <w:rsid w:val="004A566D"/>
    <w:rsid w:val="004B1AB8"/>
    <w:rsid w:val="004B2609"/>
    <w:rsid w:val="004B72CD"/>
    <w:rsid w:val="004B7C72"/>
    <w:rsid w:val="004C09BD"/>
    <w:rsid w:val="004C4F48"/>
    <w:rsid w:val="004D2DD9"/>
    <w:rsid w:val="004D7A70"/>
    <w:rsid w:val="004E5764"/>
    <w:rsid w:val="004E6180"/>
    <w:rsid w:val="004F79B0"/>
    <w:rsid w:val="004F7B97"/>
    <w:rsid w:val="00512AB2"/>
    <w:rsid w:val="00513009"/>
    <w:rsid w:val="005218D3"/>
    <w:rsid w:val="005223D5"/>
    <w:rsid w:val="0052380C"/>
    <w:rsid w:val="005253E8"/>
    <w:rsid w:val="00525FE5"/>
    <w:rsid w:val="00526676"/>
    <w:rsid w:val="005269BE"/>
    <w:rsid w:val="00534869"/>
    <w:rsid w:val="00536542"/>
    <w:rsid w:val="00537A6F"/>
    <w:rsid w:val="00537B97"/>
    <w:rsid w:val="005451A6"/>
    <w:rsid w:val="005472F3"/>
    <w:rsid w:val="005473BD"/>
    <w:rsid w:val="00547661"/>
    <w:rsid w:val="005513CE"/>
    <w:rsid w:val="00556A91"/>
    <w:rsid w:val="0056007F"/>
    <w:rsid w:val="005639F0"/>
    <w:rsid w:val="005652DD"/>
    <w:rsid w:val="00567CDB"/>
    <w:rsid w:val="00576DFC"/>
    <w:rsid w:val="00577260"/>
    <w:rsid w:val="005973EF"/>
    <w:rsid w:val="005A22AC"/>
    <w:rsid w:val="005A7200"/>
    <w:rsid w:val="005B2890"/>
    <w:rsid w:val="005B463B"/>
    <w:rsid w:val="005C0B0B"/>
    <w:rsid w:val="005C1E5E"/>
    <w:rsid w:val="005C3589"/>
    <w:rsid w:val="005C38C1"/>
    <w:rsid w:val="005C51B4"/>
    <w:rsid w:val="005C7241"/>
    <w:rsid w:val="005D3FA7"/>
    <w:rsid w:val="005D4DA8"/>
    <w:rsid w:val="005D7E9C"/>
    <w:rsid w:val="005E3211"/>
    <w:rsid w:val="005E4D52"/>
    <w:rsid w:val="005F3193"/>
    <w:rsid w:val="00600EF8"/>
    <w:rsid w:val="006019A1"/>
    <w:rsid w:val="006021A1"/>
    <w:rsid w:val="006047A6"/>
    <w:rsid w:val="00620449"/>
    <w:rsid w:val="00621D38"/>
    <w:rsid w:val="0062256E"/>
    <w:rsid w:val="006260B2"/>
    <w:rsid w:val="00634437"/>
    <w:rsid w:val="006345F8"/>
    <w:rsid w:val="006406AC"/>
    <w:rsid w:val="006419E0"/>
    <w:rsid w:val="00645A81"/>
    <w:rsid w:val="00646168"/>
    <w:rsid w:val="00647E1A"/>
    <w:rsid w:val="00651C0F"/>
    <w:rsid w:val="0065578A"/>
    <w:rsid w:val="00664EFD"/>
    <w:rsid w:val="00671BCF"/>
    <w:rsid w:val="006818E2"/>
    <w:rsid w:val="00687CF0"/>
    <w:rsid w:val="006950A5"/>
    <w:rsid w:val="006A2F33"/>
    <w:rsid w:val="006A4853"/>
    <w:rsid w:val="006A6184"/>
    <w:rsid w:val="006B44EE"/>
    <w:rsid w:val="006B530F"/>
    <w:rsid w:val="006C5813"/>
    <w:rsid w:val="006D0004"/>
    <w:rsid w:val="006D1B10"/>
    <w:rsid w:val="006D48D2"/>
    <w:rsid w:val="006D6699"/>
    <w:rsid w:val="006D6AA0"/>
    <w:rsid w:val="006E2781"/>
    <w:rsid w:val="006E6FF4"/>
    <w:rsid w:val="006F2E2E"/>
    <w:rsid w:val="006F78E7"/>
    <w:rsid w:val="00710F51"/>
    <w:rsid w:val="007117A3"/>
    <w:rsid w:val="0071742D"/>
    <w:rsid w:val="00717D1B"/>
    <w:rsid w:val="007223B2"/>
    <w:rsid w:val="00723597"/>
    <w:rsid w:val="007255A2"/>
    <w:rsid w:val="00733736"/>
    <w:rsid w:val="00733A26"/>
    <w:rsid w:val="0073421B"/>
    <w:rsid w:val="00747971"/>
    <w:rsid w:val="007541F6"/>
    <w:rsid w:val="0075567A"/>
    <w:rsid w:val="00764212"/>
    <w:rsid w:val="00766A51"/>
    <w:rsid w:val="007679F7"/>
    <w:rsid w:val="007704C4"/>
    <w:rsid w:val="007763F8"/>
    <w:rsid w:val="00784E65"/>
    <w:rsid w:val="00790ECB"/>
    <w:rsid w:val="00791BFB"/>
    <w:rsid w:val="00792218"/>
    <w:rsid w:val="007929F3"/>
    <w:rsid w:val="00795E2E"/>
    <w:rsid w:val="007967F3"/>
    <w:rsid w:val="007A7294"/>
    <w:rsid w:val="007B1067"/>
    <w:rsid w:val="007B2C67"/>
    <w:rsid w:val="007B395F"/>
    <w:rsid w:val="007B3C0C"/>
    <w:rsid w:val="007B5A84"/>
    <w:rsid w:val="007C43B8"/>
    <w:rsid w:val="007C53AF"/>
    <w:rsid w:val="007C5B7B"/>
    <w:rsid w:val="007D0245"/>
    <w:rsid w:val="007D0CBD"/>
    <w:rsid w:val="007E5464"/>
    <w:rsid w:val="007F0601"/>
    <w:rsid w:val="007F1339"/>
    <w:rsid w:val="0080751D"/>
    <w:rsid w:val="00810FFC"/>
    <w:rsid w:val="0081134A"/>
    <w:rsid w:val="00811725"/>
    <w:rsid w:val="008216CD"/>
    <w:rsid w:val="0082357D"/>
    <w:rsid w:val="00825CCF"/>
    <w:rsid w:val="00833B4E"/>
    <w:rsid w:val="00833C17"/>
    <w:rsid w:val="00835EC4"/>
    <w:rsid w:val="0084098C"/>
    <w:rsid w:val="008507D4"/>
    <w:rsid w:val="00852031"/>
    <w:rsid w:val="0085256D"/>
    <w:rsid w:val="008566C0"/>
    <w:rsid w:val="008578A9"/>
    <w:rsid w:val="008638AF"/>
    <w:rsid w:val="008655EF"/>
    <w:rsid w:val="00870891"/>
    <w:rsid w:val="0087499D"/>
    <w:rsid w:val="00876519"/>
    <w:rsid w:val="008765F1"/>
    <w:rsid w:val="00886A13"/>
    <w:rsid w:val="008900C0"/>
    <w:rsid w:val="00891123"/>
    <w:rsid w:val="00891696"/>
    <w:rsid w:val="00891BA6"/>
    <w:rsid w:val="00896110"/>
    <w:rsid w:val="00896A4A"/>
    <w:rsid w:val="008A57F3"/>
    <w:rsid w:val="008B0273"/>
    <w:rsid w:val="008B0613"/>
    <w:rsid w:val="008B1DBA"/>
    <w:rsid w:val="008B6272"/>
    <w:rsid w:val="008B7744"/>
    <w:rsid w:val="008B7DDD"/>
    <w:rsid w:val="008C2B0D"/>
    <w:rsid w:val="008C3F17"/>
    <w:rsid w:val="008C6499"/>
    <w:rsid w:val="008D2BD3"/>
    <w:rsid w:val="008D5AC4"/>
    <w:rsid w:val="008E668A"/>
    <w:rsid w:val="008E6A50"/>
    <w:rsid w:val="008E7A99"/>
    <w:rsid w:val="008F225C"/>
    <w:rsid w:val="008F44A0"/>
    <w:rsid w:val="00902B40"/>
    <w:rsid w:val="00911461"/>
    <w:rsid w:val="00923901"/>
    <w:rsid w:val="00926B56"/>
    <w:rsid w:val="00927CCE"/>
    <w:rsid w:val="00935AC5"/>
    <w:rsid w:val="00935BFB"/>
    <w:rsid w:val="00946570"/>
    <w:rsid w:val="00950698"/>
    <w:rsid w:val="009519EC"/>
    <w:rsid w:val="00954076"/>
    <w:rsid w:val="00963687"/>
    <w:rsid w:val="0096579A"/>
    <w:rsid w:val="009678C0"/>
    <w:rsid w:val="00973972"/>
    <w:rsid w:val="00977356"/>
    <w:rsid w:val="00977A53"/>
    <w:rsid w:val="0098637C"/>
    <w:rsid w:val="0099055A"/>
    <w:rsid w:val="00993B28"/>
    <w:rsid w:val="00996886"/>
    <w:rsid w:val="00997AA7"/>
    <w:rsid w:val="009A0115"/>
    <w:rsid w:val="009A4208"/>
    <w:rsid w:val="009A4CF0"/>
    <w:rsid w:val="009A76F9"/>
    <w:rsid w:val="009B2B39"/>
    <w:rsid w:val="009B6BBA"/>
    <w:rsid w:val="009B7B07"/>
    <w:rsid w:val="009C016E"/>
    <w:rsid w:val="009C2535"/>
    <w:rsid w:val="009C6AE5"/>
    <w:rsid w:val="009D1CE7"/>
    <w:rsid w:val="009D63AF"/>
    <w:rsid w:val="009E2686"/>
    <w:rsid w:val="009E6125"/>
    <w:rsid w:val="00A007ED"/>
    <w:rsid w:val="00A02FE1"/>
    <w:rsid w:val="00A227AB"/>
    <w:rsid w:val="00A26C5C"/>
    <w:rsid w:val="00A33D29"/>
    <w:rsid w:val="00A413C0"/>
    <w:rsid w:val="00A43350"/>
    <w:rsid w:val="00A43F43"/>
    <w:rsid w:val="00A45551"/>
    <w:rsid w:val="00A46D1E"/>
    <w:rsid w:val="00A478C3"/>
    <w:rsid w:val="00A50906"/>
    <w:rsid w:val="00A62016"/>
    <w:rsid w:val="00A63A95"/>
    <w:rsid w:val="00A70B91"/>
    <w:rsid w:val="00A80A4E"/>
    <w:rsid w:val="00A86990"/>
    <w:rsid w:val="00A875E3"/>
    <w:rsid w:val="00A962B6"/>
    <w:rsid w:val="00AA1DFC"/>
    <w:rsid w:val="00AA6C4A"/>
    <w:rsid w:val="00AD0252"/>
    <w:rsid w:val="00AD6369"/>
    <w:rsid w:val="00AE192B"/>
    <w:rsid w:val="00AE2034"/>
    <w:rsid w:val="00AE3A8E"/>
    <w:rsid w:val="00AF03BF"/>
    <w:rsid w:val="00B0080B"/>
    <w:rsid w:val="00B07373"/>
    <w:rsid w:val="00B13D7C"/>
    <w:rsid w:val="00B15592"/>
    <w:rsid w:val="00B16250"/>
    <w:rsid w:val="00B16619"/>
    <w:rsid w:val="00B208E9"/>
    <w:rsid w:val="00B20C8F"/>
    <w:rsid w:val="00B2213D"/>
    <w:rsid w:val="00B35C98"/>
    <w:rsid w:val="00B41042"/>
    <w:rsid w:val="00B46B44"/>
    <w:rsid w:val="00B47B4D"/>
    <w:rsid w:val="00B55080"/>
    <w:rsid w:val="00B55590"/>
    <w:rsid w:val="00B61553"/>
    <w:rsid w:val="00B61792"/>
    <w:rsid w:val="00B654A0"/>
    <w:rsid w:val="00B65862"/>
    <w:rsid w:val="00B71476"/>
    <w:rsid w:val="00B812E2"/>
    <w:rsid w:val="00B86CD8"/>
    <w:rsid w:val="00B91333"/>
    <w:rsid w:val="00B93986"/>
    <w:rsid w:val="00B95055"/>
    <w:rsid w:val="00B96917"/>
    <w:rsid w:val="00BA5D1C"/>
    <w:rsid w:val="00BB0DEB"/>
    <w:rsid w:val="00BB10AA"/>
    <w:rsid w:val="00BB265E"/>
    <w:rsid w:val="00BB2B1C"/>
    <w:rsid w:val="00BB4F31"/>
    <w:rsid w:val="00BB6AFC"/>
    <w:rsid w:val="00BB7DE0"/>
    <w:rsid w:val="00BC07FD"/>
    <w:rsid w:val="00BC0AAD"/>
    <w:rsid w:val="00BC2E0C"/>
    <w:rsid w:val="00BC3031"/>
    <w:rsid w:val="00BC768F"/>
    <w:rsid w:val="00BC784C"/>
    <w:rsid w:val="00BD47EE"/>
    <w:rsid w:val="00BD4F65"/>
    <w:rsid w:val="00BE400C"/>
    <w:rsid w:val="00BE65FD"/>
    <w:rsid w:val="00BF1284"/>
    <w:rsid w:val="00BF4D55"/>
    <w:rsid w:val="00BF6DE3"/>
    <w:rsid w:val="00C046B1"/>
    <w:rsid w:val="00C10D84"/>
    <w:rsid w:val="00C12004"/>
    <w:rsid w:val="00C1249C"/>
    <w:rsid w:val="00C20B33"/>
    <w:rsid w:val="00C21F04"/>
    <w:rsid w:val="00C221A3"/>
    <w:rsid w:val="00C3273C"/>
    <w:rsid w:val="00C3312D"/>
    <w:rsid w:val="00C40201"/>
    <w:rsid w:val="00C41B29"/>
    <w:rsid w:val="00C47ADF"/>
    <w:rsid w:val="00C5402A"/>
    <w:rsid w:val="00C565D7"/>
    <w:rsid w:val="00C60515"/>
    <w:rsid w:val="00C67B63"/>
    <w:rsid w:val="00C74DD9"/>
    <w:rsid w:val="00C76DB1"/>
    <w:rsid w:val="00C77B01"/>
    <w:rsid w:val="00C8095F"/>
    <w:rsid w:val="00C830DB"/>
    <w:rsid w:val="00C84AEA"/>
    <w:rsid w:val="00C85246"/>
    <w:rsid w:val="00C862CF"/>
    <w:rsid w:val="00C926F1"/>
    <w:rsid w:val="00C93DCE"/>
    <w:rsid w:val="00C96A4D"/>
    <w:rsid w:val="00CA4A57"/>
    <w:rsid w:val="00CA7C90"/>
    <w:rsid w:val="00CB11C9"/>
    <w:rsid w:val="00CB28DD"/>
    <w:rsid w:val="00CB77D0"/>
    <w:rsid w:val="00CC1EED"/>
    <w:rsid w:val="00CC5F6D"/>
    <w:rsid w:val="00CD1E81"/>
    <w:rsid w:val="00CD7299"/>
    <w:rsid w:val="00CE1D66"/>
    <w:rsid w:val="00CE2B57"/>
    <w:rsid w:val="00CE439B"/>
    <w:rsid w:val="00CE5483"/>
    <w:rsid w:val="00CE791B"/>
    <w:rsid w:val="00CF25DD"/>
    <w:rsid w:val="00CF35EF"/>
    <w:rsid w:val="00CF3E38"/>
    <w:rsid w:val="00CF764A"/>
    <w:rsid w:val="00D06B20"/>
    <w:rsid w:val="00D06C27"/>
    <w:rsid w:val="00D165A5"/>
    <w:rsid w:val="00D17159"/>
    <w:rsid w:val="00D236FD"/>
    <w:rsid w:val="00D25F2F"/>
    <w:rsid w:val="00D26992"/>
    <w:rsid w:val="00D3634A"/>
    <w:rsid w:val="00D36769"/>
    <w:rsid w:val="00D36CE1"/>
    <w:rsid w:val="00D37CFC"/>
    <w:rsid w:val="00D46046"/>
    <w:rsid w:val="00D46BF2"/>
    <w:rsid w:val="00D5657B"/>
    <w:rsid w:val="00D6327F"/>
    <w:rsid w:val="00D63751"/>
    <w:rsid w:val="00D707FA"/>
    <w:rsid w:val="00D74040"/>
    <w:rsid w:val="00D82C29"/>
    <w:rsid w:val="00D84F04"/>
    <w:rsid w:val="00D904BF"/>
    <w:rsid w:val="00D956B6"/>
    <w:rsid w:val="00D95833"/>
    <w:rsid w:val="00DA4759"/>
    <w:rsid w:val="00DB0051"/>
    <w:rsid w:val="00DC378E"/>
    <w:rsid w:val="00DC4252"/>
    <w:rsid w:val="00DC71B9"/>
    <w:rsid w:val="00DD3792"/>
    <w:rsid w:val="00DD4D1C"/>
    <w:rsid w:val="00DE0EDE"/>
    <w:rsid w:val="00DE3687"/>
    <w:rsid w:val="00DE4048"/>
    <w:rsid w:val="00E00716"/>
    <w:rsid w:val="00E02ADE"/>
    <w:rsid w:val="00E13023"/>
    <w:rsid w:val="00E13130"/>
    <w:rsid w:val="00E17455"/>
    <w:rsid w:val="00E27825"/>
    <w:rsid w:val="00E37160"/>
    <w:rsid w:val="00E457ED"/>
    <w:rsid w:val="00E50BD4"/>
    <w:rsid w:val="00E520E8"/>
    <w:rsid w:val="00E550A8"/>
    <w:rsid w:val="00E6025D"/>
    <w:rsid w:val="00E658BB"/>
    <w:rsid w:val="00E66A0E"/>
    <w:rsid w:val="00E7125B"/>
    <w:rsid w:val="00E73AB5"/>
    <w:rsid w:val="00E8593F"/>
    <w:rsid w:val="00E931BC"/>
    <w:rsid w:val="00E96E7E"/>
    <w:rsid w:val="00E97B35"/>
    <w:rsid w:val="00EA27C3"/>
    <w:rsid w:val="00EA5975"/>
    <w:rsid w:val="00EB0FEF"/>
    <w:rsid w:val="00EB3FF9"/>
    <w:rsid w:val="00EB456E"/>
    <w:rsid w:val="00EB4B13"/>
    <w:rsid w:val="00EB4E4B"/>
    <w:rsid w:val="00EB593B"/>
    <w:rsid w:val="00EE039C"/>
    <w:rsid w:val="00EE09BB"/>
    <w:rsid w:val="00EE0BAC"/>
    <w:rsid w:val="00EE24B1"/>
    <w:rsid w:val="00EE6C9F"/>
    <w:rsid w:val="00EF1133"/>
    <w:rsid w:val="00EF4510"/>
    <w:rsid w:val="00F0290D"/>
    <w:rsid w:val="00F02CA6"/>
    <w:rsid w:val="00F0529B"/>
    <w:rsid w:val="00F072E7"/>
    <w:rsid w:val="00F15F61"/>
    <w:rsid w:val="00F16D81"/>
    <w:rsid w:val="00F16DF3"/>
    <w:rsid w:val="00F205EE"/>
    <w:rsid w:val="00F23F86"/>
    <w:rsid w:val="00F27F1B"/>
    <w:rsid w:val="00F3026B"/>
    <w:rsid w:val="00F30ACD"/>
    <w:rsid w:val="00F31C5C"/>
    <w:rsid w:val="00F33C45"/>
    <w:rsid w:val="00F4274F"/>
    <w:rsid w:val="00F444FF"/>
    <w:rsid w:val="00F45913"/>
    <w:rsid w:val="00F46690"/>
    <w:rsid w:val="00F5003A"/>
    <w:rsid w:val="00F51820"/>
    <w:rsid w:val="00F54825"/>
    <w:rsid w:val="00F57659"/>
    <w:rsid w:val="00F6022A"/>
    <w:rsid w:val="00F63A57"/>
    <w:rsid w:val="00F6489E"/>
    <w:rsid w:val="00F66B1D"/>
    <w:rsid w:val="00F70AFA"/>
    <w:rsid w:val="00F71639"/>
    <w:rsid w:val="00F7218E"/>
    <w:rsid w:val="00F8171E"/>
    <w:rsid w:val="00F82F6B"/>
    <w:rsid w:val="00F853C2"/>
    <w:rsid w:val="00F85B5F"/>
    <w:rsid w:val="00F9698D"/>
    <w:rsid w:val="00FA064D"/>
    <w:rsid w:val="00FA266D"/>
    <w:rsid w:val="00FB34B0"/>
    <w:rsid w:val="00FB7370"/>
    <w:rsid w:val="00FB7B4E"/>
    <w:rsid w:val="00FC3533"/>
    <w:rsid w:val="00FC461C"/>
    <w:rsid w:val="00FC74E0"/>
    <w:rsid w:val="00FD0181"/>
    <w:rsid w:val="00FD1E97"/>
    <w:rsid w:val="00FD286B"/>
    <w:rsid w:val="00FD4D55"/>
    <w:rsid w:val="00FD6F13"/>
    <w:rsid w:val="00FD7B07"/>
    <w:rsid w:val="00FE35B6"/>
    <w:rsid w:val="00FE7C35"/>
    <w:rsid w:val="00FF0D3A"/>
    <w:rsid w:val="00FF3127"/>
    <w:rsid w:val="00FF4195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A7"/>
  </w:style>
  <w:style w:type="paragraph" w:styleId="1">
    <w:name w:val="heading 1"/>
    <w:basedOn w:val="a"/>
    <w:link w:val="10"/>
    <w:uiPriority w:val="9"/>
    <w:qFormat/>
    <w:rsid w:val="0071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F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F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7419</Characters>
  <Application>Microsoft Office Word</Application>
  <DocSecurity>0</DocSecurity>
  <Lines>61</Lines>
  <Paragraphs>17</Paragraphs>
  <ScaleCrop>false</ScaleCrop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gorshkova_ui</dc:creator>
  <cp:keywords/>
  <dc:description/>
  <cp:lastModifiedBy>gorshkova_ui</cp:lastModifiedBy>
  <cp:revision>3</cp:revision>
  <cp:lastPrinted>2014-01-29T02:21:00Z</cp:lastPrinted>
  <dcterms:created xsi:type="dcterms:W3CDTF">2014-01-27T08:57:00Z</dcterms:created>
  <dcterms:modified xsi:type="dcterms:W3CDTF">2014-01-29T02:21:00Z</dcterms:modified>
</cp:coreProperties>
</file>